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ascii="Times New Roman" w:hAnsi="Times New Roman" w:cs="Times New Roman"/>
          <w:b/>
          <w:sz w:val="28"/>
          <w:szCs w:val="28"/>
        </w:rPr>
      </w:pPr>
      <w:r>
        <w:rPr>
          <w:rFonts w:ascii="Times New Roman" w:hAnsi="Times New Roman" w:cs="Times New Roman"/>
          <w:b/>
          <w:sz w:val="28"/>
          <w:szCs w:val="28"/>
        </w:rPr>
        <w:t>СРЕДНЕЦАРИЦЫНСКИЙ СЕЛЬСКИЙ СОВЕТ</w:t>
      </w:r>
    </w:p>
    <w:p>
      <w:pPr>
        <w:pStyle w:val="7"/>
        <w:jc w:val="center"/>
        <w:rPr>
          <w:rFonts w:ascii="Times New Roman" w:hAnsi="Times New Roman" w:cs="Times New Roman"/>
          <w:b/>
          <w:i/>
          <w:sz w:val="28"/>
          <w:szCs w:val="28"/>
        </w:rPr>
      </w:pPr>
      <w:r>
        <w:rPr>
          <w:rFonts w:ascii="Times New Roman" w:hAnsi="Times New Roman" w:cs="Times New Roman"/>
          <w:b/>
          <w:sz w:val="28"/>
          <w:szCs w:val="28"/>
        </w:rPr>
        <w:t>СЕРАФИМОВИЧСКОГО МУНИЦИПАЛЬНОГО РАЙОНА</w:t>
      </w:r>
    </w:p>
    <w:p>
      <w:pPr>
        <w:pStyle w:val="2"/>
        <w:numPr>
          <w:ilvl w:val="1"/>
          <w:numId w:val="1"/>
        </w:numPr>
        <w:pBdr>
          <w:bottom w:val="double" w:color="000000" w:sz="24" w:space="0"/>
        </w:pBdr>
        <w:tabs>
          <w:tab w:val="left" w:pos="0"/>
        </w:tabs>
        <w:spacing w:before="0" w:after="0"/>
        <w:ind w:left="0" w:firstLine="0"/>
        <w:jc w:val="center"/>
        <w:rPr>
          <w:rFonts w:ascii="Times New Roman" w:hAnsi="Times New Roman"/>
          <w:i w:val="0"/>
        </w:rPr>
      </w:pPr>
      <w:r>
        <w:rPr>
          <w:rFonts w:ascii="Times New Roman" w:hAnsi="Times New Roman"/>
          <w:i w:val="0"/>
        </w:rPr>
        <w:t>ВОЛГОГРАДСКОЙ ОБЛАСТИ</w:t>
      </w:r>
    </w:p>
    <w:p>
      <w:pPr>
        <w:pStyle w:val="7"/>
        <w:jc w:val="center"/>
        <w:rPr>
          <w:rFonts w:ascii="Times New Roman" w:hAnsi="Times New Roman" w:cs="Times New Roman"/>
          <w:sz w:val="24"/>
          <w:szCs w:val="24"/>
        </w:rPr>
      </w:pPr>
    </w:p>
    <w:p>
      <w:pPr>
        <w:pStyle w:val="7"/>
        <w:jc w:val="center"/>
        <w:rPr>
          <w:rFonts w:ascii="Times New Roman" w:hAnsi="Times New Roman" w:cs="Times New Roman"/>
          <w:sz w:val="24"/>
          <w:szCs w:val="24"/>
        </w:rPr>
      </w:pPr>
    </w:p>
    <w:p>
      <w:pPr>
        <w:pStyle w:val="7"/>
        <w:jc w:val="center"/>
        <w:rPr>
          <w:rFonts w:ascii="Times New Roman" w:hAnsi="Times New Roman" w:cs="Times New Roman"/>
          <w:b/>
          <w:sz w:val="28"/>
          <w:szCs w:val="28"/>
        </w:rPr>
      </w:pPr>
      <w:r>
        <w:rPr>
          <w:rFonts w:ascii="Times New Roman" w:hAnsi="Times New Roman" w:cs="Times New Roman"/>
          <w:b/>
          <w:sz w:val="28"/>
          <w:szCs w:val="28"/>
        </w:rPr>
        <w:t>РЕШЕНИЕ</w:t>
      </w:r>
    </w:p>
    <w:p>
      <w:pPr>
        <w:pStyle w:val="7"/>
        <w:jc w:val="center"/>
        <w:rPr>
          <w:rFonts w:ascii="Times New Roman" w:hAnsi="Times New Roman" w:cs="Times New Roman"/>
          <w:b/>
          <w:sz w:val="24"/>
          <w:szCs w:val="24"/>
        </w:rPr>
      </w:pPr>
    </w:p>
    <w:p>
      <w:pPr>
        <w:pStyle w:val="7"/>
        <w:rPr>
          <w:rFonts w:ascii="Times New Roman" w:hAnsi="Times New Roman" w:cs="Times New Roman"/>
          <w:b/>
          <w:sz w:val="24"/>
          <w:szCs w:val="24"/>
        </w:rPr>
      </w:pPr>
      <w:r>
        <w:rPr>
          <w:rFonts w:ascii="Times New Roman" w:hAnsi="Times New Roman" w:cs="Times New Roman"/>
          <w:b/>
          <w:sz w:val="24"/>
          <w:szCs w:val="24"/>
        </w:rPr>
        <w:t xml:space="preserve">№ 4                                                                                                     от 11 февраля 2020 года </w:t>
      </w:r>
    </w:p>
    <w:p>
      <w:pPr>
        <w:pStyle w:val="7"/>
        <w:jc w:val="center"/>
        <w:rPr>
          <w:sz w:val="16"/>
          <w:szCs w:val="16"/>
        </w:rPr>
      </w:pPr>
    </w:p>
    <w:p>
      <w:pPr>
        <w:pStyle w:val="8"/>
        <w:widowControl/>
      </w:pPr>
      <w:bookmarkStart w:id="0" w:name="_GoBack"/>
      <w:r>
        <w:t>Об утверждении  стоимости  и  характеристик  услуг,</w:t>
      </w:r>
    </w:p>
    <w:p>
      <w:pPr>
        <w:pStyle w:val="8"/>
        <w:widowControl/>
      </w:pPr>
      <w:r>
        <w:t>предоставляемых    на    территории   Среднецарицынского</w:t>
      </w:r>
    </w:p>
    <w:p>
      <w:pPr>
        <w:pStyle w:val="8"/>
        <w:widowControl/>
      </w:pPr>
      <w:r>
        <w:t>сельского поселения, согласно гарантированному</w:t>
      </w:r>
      <w:r>
        <w:br w:type="textWrapping"/>
      </w:r>
      <w:r>
        <w:t>перечню услуг по погребению</w:t>
      </w:r>
      <w:bookmarkEnd w:id="0"/>
    </w:p>
    <w:p>
      <w:pPr>
        <w:autoSpaceDE w:val="0"/>
        <w:ind w:firstLine="540"/>
        <w:jc w:val="both"/>
        <w:rPr>
          <w:rFonts w:ascii="Times New Roman" w:hAnsi="Times New Roman" w:cs="Times New Roman"/>
          <w:b/>
          <w:sz w:val="24"/>
          <w:szCs w:val="24"/>
        </w:rPr>
      </w:pPr>
    </w:p>
    <w:p>
      <w:pPr>
        <w:autoSpaceDE w:val="0"/>
        <w:ind w:firstLine="720"/>
        <w:jc w:val="both"/>
        <w:rPr>
          <w:rFonts w:ascii="Times New Roman" w:hAnsi="Times New Roman" w:cs="Times New Roman"/>
          <w:b/>
          <w:sz w:val="24"/>
          <w:szCs w:val="24"/>
        </w:rPr>
      </w:pPr>
      <w:r>
        <w:rPr>
          <w:rFonts w:ascii="Times New Roman" w:hAnsi="Times New Roman" w:cs="Times New Roman"/>
          <w:b/>
          <w:sz w:val="24"/>
          <w:szCs w:val="24"/>
        </w:rPr>
        <w:t xml:space="preserve">В соответствии с Федеральным законом Российской Федерации от 12.01.1996г. №8-ФЗ «О погребении и похоронном деле», законом Волгоградской области от 03.04.2007г. № 1436-ОД "О погребении и похоронном деле в Волгоградской области", Постановлением Правительства РФ от 29 января 2020г. №61 «Об утверждении коэффициента индексации выплат, пособий и компенсаций в 2020 году», руководствуясь </w:t>
      </w:r>
      <w:r>
        <w:fldChar w:fldCharType="begin"/>
      </w:r>
      <w:r>
        <w:instrText xml:space="preserve"> HYPERLINK "consultantplus://offline/main?base=RLAW180;n=63129;fld=134" </w:instrText>
      </w:r>
      <w:r>
        <w:fldChar w:fldCharType="separate"/>
      </w:r>
      <w:r>
        <w:rPr>
          <w:rStyle w:val="4"/>
          <w:rFonts w:ascii="Times New Roman" w:hAnsi="Times New Roman" w:cs="Times New Roman"/>
          <w:b/>
          <w:sz w:val="24"/>
          <w:szCs w:val="24"/>
        </w:rPr>
        <w:t>Уставом</w:t>
      </w:r>
      <w:r>
        <w:rPr>
          <w:rStyle w:val="4"/>
          <w:rFonts w:ascii="Times New Roman" w:hAnsi="Times New Roman" w:cs="Times New Roman"/>
          <w:b/>
          <w:sz w:val="24"/>
          <w:szCs w:val="24"/>
        </w:rPr>
        <w:fldChar w:fldCharType="end"/>
      </w:r>
      <w:r>
        <w:rPr>
          <w:rFonts w:ascii="Times New Roman" w:hAnsi="Times New Roman" w:cs="Times New Roman"/>
          <w:b/>
          <w:sz w:val="24"/>
          <w:szCs w:val="24"/>
        </w:rPr>
        <w:t xml:space="preserve">   Среднецарицынского сельского поселения,   Среднецарицынский сельский Совет </w:t>
      </w:r>
    </w:p>
    <w:p>
      <w:pPr>
        <w:pStyle w:val="7"/>
        <w:rPr>
          <w:rFonts w:ascii="Times New Roman" w:hAnsi="Times New Roman" w:cs="Times New Roman"/>
          <w:b/>
          <w:sz w:val="28"/>
          <w:szCs w:val="28"/>
        </w:rPr>
      </w:pPr>
      <w:r>
        <w:rPr>
          <w:rFonts w:ascii="Times New Roman" w:hAnsi="Times New Roman" w:cs="Times New Roman"/>
          <w:b/>
          <w:sz w:val="28"/>
          <w:szCs w:val="28"/>
        </w:rPr>
        <w:t>решил:</w:t>
      </w:r>
    </w:p>
    <w:p>
      <w:pPr>
        <w:pStyle w:val="7"/>
        <w:rPr>
          <w:rFonts w:ascii="Times New Roman" w:hAnsi="Times New Roman" w:cs="Times New Roman"/>
          <w:b/>
          <w:sz w:val="24"/>
          <w:szCs w:val="24"/>
        </w:rPr>
      </w:pPr>
      <w:r>
        <w:rPr>
          <w:rFonts w:ascii="Times New Roman" w:hAnsi="Times New Roman" w:cs="Times New Roman"/>
          <w:b/>
          <w:sz w:val="24"/>
          <w:szCs w:val="24"/>
        </w:rPr>
        <w:t xml:space="preserve">     1. Утвердить </w:t>
      </w:r>
      <w:r>
        <w:fldChar w:fldCharType="begin"/>
      </w:r>
      <w:r>
        <w:instrText xml:space="preserve"> HYPERLINK "consultantplus://offline/main?base=RLAW180;n=59986;fld=134;dst=100012" </w:instrText>
      </w:r>
      <w:r>
        <w:fldChar w:fldCharType="separate"/>
      </w:r>
      <w:r>
        <w:rPr>
          <w:rStyle w:val="4"/>
          <w:rFonts w:ascii="Times New Roman" w:hAnsi="Times New Roman" w:cs="Times New Roman"/>
          <w:b/>
          <w:sz w:val="24"/>
          <w:szCs w:val="24"/>
        </w:rPr>
        <w:t>стоимость</w:t>
      </w:r>
      <w:r>
        <w:rPr>
          <w:rStyle w:val="4"/>
          <w:rFonts w:ascii="Times New Roman" w:hAnsi="Times New Roman" w:cs="Times New Roman"/>
          <w:b/>
          <w:sz w:val="24"/>
          <w:szCs w:val="24"/>
        </w:rPr>
        <w:fldChar w:fldCharType="end"/>
      </w:r>
      <w:r>
        <w:rPr>
          <w:rFonts w:ascii="Times New Roman" w:hAnsi="Times New Roman" w:cs="Times New Roman"/>
          <w:b/>
          <w:sz w:val="24"/>
          <w:szCs w:val="24"/>
        </w:rPr>
        <w:t xml:space="preserve"> услуг, предоставляемых на территории   Среднецарицынского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1), а  также  </w:t>
      </w:r>
      <w:r>
        <w:fldChar w:fldCharType="begin"/>
      </w:r>
      <w:r>
        <w:instrText xml:space="preserve"> HYPERLINK "consultantplus://offline/main?base=RLAW180;n=59986;fld=134;dst=100021" </w:instrText>
      </w:r>
      <w:r>
        <w:fldChar w:fldCharType="separate"/>
      </w:r>
      <w:r>
        <w:rPr>
          <w:rStyle w:val="4"/>
          <w:rFonts w:ascii="Times New Roman" w:hAnsi="Times New Roman" w:cs="Times New Roman"/>
          <w:b/>
          <w:sz w:val="24"/>
          <w:szCs w:val="24"/>
        </w:rPr>
        <w:t>характеристику</w:t>
      </w:r>
      <w:r>
        <w:rPr>
          <w:rStyle w:val="4"/>
          <w:rFonts w:ascii="Times New Roman" w:hAnsi="Times New Roman" w:cs="Times New Roman"/>
          <w:b/>
          <w:sz w:val="24"/>
          <w:szCs w:val="24"/>
        </w:rPr>
        <w:fldChar w:fldCharType="end"/>
      </w:r>
      <w:r>
        <w:rPr>
          <w:rFonts w:ascii="Times New Roman" w:hAnsi="Times New Roman" w:cs="Times New Roman"/>
          <w:b/>
          <w:sz w:val="24"/>
          <w:szCs w:val="24"/>
        </w:rPr>
        <w:t xml:space="preserve"> услуг, предусмотренных гарантированным Перечнем услуг по погребению (приложение 2).</w:t>
      </w:r>
    </w:p>
    <w:p>
      <w:pPr>
        <w:pStyle w:val="7"/>
        <w:rPr>
          <w:rFonts w:ascii="Times New Roman" w:hAnsi="Times New Roman" w:cs="Times New Roman"/>
          <w:b/>
          <w:sz w:val="24"/>
          <w:szCs w:val="24"/>
        </w:rPr>
      </w:pPr>
      <w:r>
        <w:rPr>
          <w:rFonts w:ascii="Times New Roman" w:hAnsi="Times New Roman" w:cs="Times New Roman"/>
          <w:b/>
          <w:sz w:val="24"/>
          <w:szCs w:val="24"/>
        </w:rPr>
        <w:t xml:space="preserve">     2. Утвердить </w:t>
      </w:r>
      <w:r>
        <w:fldChar w:fldCharType="begin"/>
      </w:r>
      <w:r>
        <w:instrText xml:space="preserve"> HYPERLINK "consultantplus://offline/main?base=RLAW180;n=59986;fld=134;dst=100029" </w:instrText>
      </w:r>
      <w:r>
        <w:fldChar w:fldCharType="separate"/>
      </w:r>
      <w:r>
        <w:rPr>
          <w:rStyle w:val="4"/>
          <w:rFonts w:ascii="Times New Roman" w:hAnsi="Times New Roman" w:cs="Times New Roman"/>
          <w:b/>
          <w:sz w:val="24"/>
          <w:szCs w:val="24"/>
        </w:rPr>
        <w:t>стоимость</w:t>
      </w:r>
      <w:r>
        <w:rPr>
          <w:rStyle w:val="4"/>
          <w:rFonts w:ascii="Times New Roman" w:hAnsi="Times New Roman" w:cs="Times New Roman"/>
          <w:b/>
          <w:sz w:val="24"/>
          <w:szCs w:val="24"/>
        </w:rPr>
        <w:fldChar w:fldCharType="end"/>
      </w:r>
      <w:r>
        <w:rPr>
          <w:rFonts w:ascii="Times New Roman" w:hAnsi="Times New Roman" w:cs="Times New Roman"/>
          <w:b/>
          <w:sz w:val="24"/>
          <w:szCs w:val="24"/>
        </w:rPr>
        <w:t xml:space="preserve"> услуг, предоставляемых на территории   Среднецарицынского сельского поселения, согласно гарантированному Перечню услуг по погребению за счет средств Пенсионного фонда РФ, федерального бюджета,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(приложение 3), и </w:t>
      </w:r>
      <w:r>
        <w:fldChar w:fldCharType="begin"/>
      </w:r>
      <w:r>
        <w:instrText xml:space="preserve"> HYPERLINK "consultantplus://offline/main?base=RLAW180;n=59986;fld=134;dst=100038" </w:instrText>
      </w:r>
      <w:r>
        <w:fldChar w:fldCharType="separate"/>
      </w:r>
      <w:r>
        <w:rPr>
          <w:rStyle w:val="4"/>
          <w:rFonts w:ascii="Times New Roman" w:hAnsi="Times New Roman" w:cs="Times New Roman"/>
          <w:b/>
          <w:sz w:val="24"/>
          <w:szCs w:val="24"/>
        </w:rPr>
        <w:t>характеристику</w:t>
      </w:r>
      <w:r>
        <w:rPr>
          <w:rStyle w:val="4"/>
          <w:rFonts w:ascii="Times New Roman" w:hAnsi="Times New Roman" w:cs="Times New Roman"/>
          <w:b/>
          <w:sz w:val="24"/>
          <w:szCs w:val="24"/>
        </w:rPr>
        <w:fldChar w:fldCharType="end"/>
      </w:r>
      <w:r>
        <w:rPr>
          <w:rFonts w:ascii="Times New Roman" w:hAnsi="Times New Roman" w:cs="Times New Roman"/>
          <w:b/>
          <w:sz w:val="24"/>
          <w:szCs w:val="24"/>
        </w:rPr>
        <w:t xml:space="preserve"> услуг, предусмотренных гарантированным Перечнем (приложение 4).</w:t>
      </w:r>
    </w:p>
    <w:p>
      <w:pPr>
        <w:pStyle w:val="7"/>
        <w:rPr>
          <w:rFonts w:ascii="Times New Roman" w:hAnsi="Times New Roman" w:cs="Times New Roman"/>
          <w:b/>
          <w:sz w:val="24"/>
          <w:szCs w:val="24"/>
        </w:rPr>
      </w:pPr>
      <w:r>
        <w:rPr>
          <w:rFonts w:ascii="Times New Roman" w:hAnsi="Times New Roman" w:cs="Times New Roman"/>
          <w:b/>
          <w:sz w:val="24"/>
          <w:szCs w:val="24"/>
        </w:rPr>
        <w:t xml:space="preserve">      3. Настоящее решение вступает в силу со дня его подписания и распространяет свое действие на отношения возникшие с 01.02.2020 года. </w:t>
      </w:r>
    </w:p>
    <w:p>
      <w:pPr>
        <w:pStyle w:val="7"/>
        <w:rPr>
          <w:rFonts w:ascii="Times New Roman" w:hAnsi="Times New Roman" w:cs="Times New Roman"/>
          <w:b/>
          <w:sz w:val="24"/>
          <w:szCs w:val="24"/>
        </w:rPr>
      </w:pPr>
      <w:r>
        <w:rPr>
          <w:rFonts w:ascii="Times New Roman" w:hAnsi="Times New Roman" w:cs="Times New Roman"/>
          <w:b/>
          <w:sz w:val="24"/>
          <w:szCs w:val="24"/>
        </w:rPr>
        <w:t xml:space="preserve">      4. Признать утратившим силу решение от   04.02.2019 г.  № 2 «Об утверждении  стоимости  и  характеристик  услуг, предоставляемых    на    территории    Среднецарицынского сельского поселения, согласно гарантированному перечню услуг по погребению»</w:t>
      </w:r>
    </w:p>
    <w:p>
      <w:pPr>
        <w:pStyle w:val="7"/>
        <w:rPr>
          <w:rFonts w:ascii="Times New Roman" w:hAnsi="Times New Roman" w:cs="Times New Roman"/>
          <w:b/>
          <w:sz w:val="24"/>
          <w:szCs w:val="24"/>
        </w:rPr>
      </w:pPr>
    </w:p>
    <w:p>
      <w:pPr>
        <w:pStyle w:val="7"/>
        <w:rPr>
          <w:rFonts w:ascii="Times New Roman" w:hAnsi="Times New Roman" w:cs="Times New Roman"/>
          <w:b/>
          <w:sz w:val="24"/>
          <w:szCs w:val="24"/>
        </w:rPr>
      </w:pPr>
      <w:r>
        <w:rPr>
          <w:rFonts w:ascii="Times New Roman" w:hAnsi="Times New Roman" w:cs="Times New Roman"/>
          <w:b/>
          <w:sz w:val="24"/>
          <w:szCs w:val="24"/>
        </w:rPr>
        <w:t>5. Контроль за исполнением настоящего  решения оставляю за собой.</w:t>
      </w:r>
    </w:p>
    <w:p>
      <w:pPr>
        <w:pStyle w:val="7"/>
        <w:rPr>
          <w:rFonts w:ascii="Times New Roman" w:hAnsi="Times New Roman" w:cs="Times New Roman"/>
          <w:b/>
          <w:sz w:val="24"/>
          <w:szCs w:val="24"/>
        </w:rPr>
      </w:pPr>
    </w:p>
    <w:p>
      <w:pPr>
        <w:pStyle w:val="7"/>
        <w:rPr>
          <w:rFonts w:ascii="Times New Roman" w:hAnsi="Times New Roman" w:cs="Times New Roman"/>
          <w:b/>
          <w:sz w:val="24"/>
          <w:szCs w:val="24"/>
        </w:rPr>
      </w:pPr>
      <w:r>
        <w:rPr>
          <w:rFonts w:ascii="Times New Roman" w:hAnsi="Times New Roman" w:cs="Times New Roman"/>
          <w:b/>
          <w:sz w:val="24"/>
          <w:szCs w:val="24"/>
        </w:rPr>
        <w:t xml:space="preserve">Глава Среднецарицынского                                                    </w:t>
      </w:r>
    </w:p>
    <w:p>
      <w:pPr>
        <w:pStyle w:val="7"/>
      </w:pPr>
      <w:r>
        <w:rPr>
          <w:rFonts w:ascii="Times New Roman" w:hAnsi="Times New Roman" w:cs="Times New Roman"/>
          <w:b/>
          <w:sz w:val="24"/>
          <w:szCs w:val="24"/>
        </w:rPr>
        <w:t xml:space="preserve">сельского поселения                                                  /Е.Д.Калинина/                                                                                                              </w:t>
      </w:r>
    </w:p>
    <w:p>
      <w:pPr>
        <w:pStyle w:val="7"/>
      </w:pPr>
    </w:p>
    <w:p>
      <w:pPr>
        <w:pStyle w:val="10"/>
        <w:spacing w:after="0" w:line="240" w:lineRule="auto"/>
        <w:jc w:val="both"/>
        <w:rPr>
          <w:b/>
        </w:rPr>
      </w:pPr>
    </w:p>
    <w:p>
      <w:pPr>
        <w:pStyle w:val="10"/>
        <w:spacing w:after="0" w:line="240" w:lineRule="auto"/>
        <w:jc w:val="right"/>
        <w:rPr>
          <w:b/>
        </w:rPr>
      </w:pPr>
    </w:p>
    <w:p>
      <w:pPr>
        <w:pStyle w:val="10"/>
        <w:spacing w:after="0" w:line="240" w:lineRule="auto"/>
        <w:jc w:val="right"/>
        <w:rPr>
          <w:b/>
        </w:rPr>
      </w:pPr>
      <w:r>
        <w:rPr>
          <w:b/>
        </w:rPr>
        <w:t>ПРИЛОЖЕНИЕ № 1</w:t>
      </w:r>
    </w:p>
    <w:p>
      <w:pPr>
        <w:pStyle w:val="10"/>
        <w:spacing w:after="0" w:line="240" w:lineRule="auto"/>
        <w:jc w:val="right"/>
        <w:rPr>
          <w:b/>
        </w:rPr>
      </w:pPr>
      <w:r>
        <w:rPr>
          <w:b/>
        </w:rPr>
        <w:t>к решению Среднецарицынского сельского Совета</w:t>
      </w:r>
    </w:p>
    <w:p>
      <w:pPr>
        <w:autoSpaceDE w:val="0"/>
        <w:jc w:val="right"/>
        <w:rPr>
          <w:rFonts w:ascii="Times New Roman" w:hAnsi="Times New Roman" w:cs="Times New Roman"/>
          <w:b/>
          <w:sz w:val="24"/>
          <w:szCs w:val="24"/>
        </w:rPr>
      </w:pPr>
      <w:r>
        <w:rPr>
          <w:rFonts w:ascii="Times New Roman" w:hAnsi="Times New Roman" w:cs="Times New Roman"/>
          <w:b/>
          <w:sz w:val="24"/>
          <w:szCs w:val="24"/>
        </w:rPr>
        <w:t>УТВЕРЖДЕНО:</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решением   Среднецарицынского</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сельского Совета</w:t>
      </w:r>
    </w:p>
    <w:p>
      <w:pPr>
        <w:autoSpaceDE w:val="0"/>
        <w:jc w:val="right"/>
        <w:rPr>
          <w:rFonts w:ascii="Times New Roman" w:hAnsi="Times New Roman" w:cs="Times New Roman"/>
          <w:b/>
          <w:sz w:val="24"/>
          <w:szCs w:val="24"/>
          <w:u w:val="single"/>
        </w:rPr>
      </w:pPr>
      <w:r>
        <w:rPr>
          <w:rFonts w:ascii="Times New Roman" w:hAnsi="Times New Roman" w:cs="Times New Roman"/>
          <w:b/>
          <w:sz w:val="24"/>
          <w:szCs w:val="24"/>
        </w:rPr>
        <w:t xml:space="preserve">   </w:t>
      </w:r>
    </w:p>
    <w:p>
      <w:pPr>
        <w:autoSpaceDE w:val="0"/>
        <w:ind w:firstLine="540"/>
        <w:jc w:val="both"/>
        <w:rPr>
          <w:rFonts w:ascii="Times New Roman" w:hAnsi="Times New Roman" w:cs="Times New Roman"/>
          <w:b/>
          <w:sz w:val="24"/>
          <w:szCs w:val="24"/>
        </w:rPr>
      </w:pPr>
    </w:p>
    <w:p>
      <w:pPr>
        <w:pStyle w:val="8"/>
        <w:widowControl/>
        <w:jc w:val="center"/>
      </w:pPr>
      <w:r>
        <w:t>СТОИМОСТЬ</w:t>
      </w:r>
    </w:p>
    <w:p>
      <w:pPr>
        <w:pStyle w:val="8"/>
        <w:widowControl/>
        <w:jc w:val="center"/>
      </w:pPr>
      <w:r>
        <w:t>УСЛУГ, ПРЕДОСТАВЛЯЕМЫХ НА ТЕРРИТОРИИ   СРЕДНЕЦАРИЦЫНСКОГО СЕЛЬСКОГО ПОСЕЛЕНИЯ</w:t>
      </w:r>
    </w:p>
    <w:p>
      <w:pPr>
        <w:pStyle w:val="8"/>
        <w:widowControl/>
        <w:jc w:val="center"/>
      </w:pPr>
      <w:r>
        <w:t xml:space="preserve">  СОГЛАСНО ГАРАНТИРОВАННОМУ ПЕРЕЧНЮ УСЛУГ ПО ПОГРЕБЕНИЮ ЗА СЧЕТ СРЕДСТВ ПЕНСИОННОГО ФОНДА РОССИЙСКОЙ ФЕДЕРАЦИИ,</w:t>
      </w:r>
    </w:p>
    <w:p>
      <w:pPr>
        <w:pStyle w:val="8"/>
        <w:widowControl/>
        <w:jc w:val="center"/>
      </w:pPr>
      <w:r>
        <w:t>ФЕДЕРАЛЬНОГО БЮДЖЕТА, ФОНДА СОЦИАЛЬНОГО СТРАХОВАНИЯ</w:t>
      </w:r>
    </w:p>
    <w:p>
      <w:pPr>
        <w:pStyle w:val="8"/>
        <w:widowControl/>
        <w:jc w:val="center"/>
      </w:pPr>
      <w:r>
        <w:t>РОССИЙСКОЙ ФЕДЕРАЦИИ</w:t>
      </w:r>
    </w:p>
    <w:p>
      <w:pPr>
        <w:pStyle w:val="8"/>
        <w:widowControl/>
        <w:jc w:val="center"/>
      </w:pPr>
    </w:p>
    <w:tbl>
      <w:tblPr>
        <w:tblStyle w:val="5"/>
        <w:tblW w:w="0" w:type="auto"/>
        <w:tblInd w:w="5" w:type="dxa"/>
        <w:tblLayout w:type="fixed"/>
        <w:tblCellMar>
          <w:top w:w="75" w:type="dxa"/>
          <w:left w:w="0" w:type="dxa"/>
          <w:bottom w:w="75" w:type="dxa"/>
          <w:right w:w="0" w:type="dxa"/>
        </w:tblCellMar>
      </w:tblPr>
      <w:tblGrid>
        <w:gridCol w:w="547"/>
        <w:gridCol w:w="5669"/>
        <w:gridCol w:w="1928"/>
        <w:gridCol w:w="1604"/>
      </w:tblGrid>
      <w:tr>
        <w:tblPrEx>
          <w:tblCellMar>
            <w:top w:w="75" w:type="dxa"/>
            <w:left w:w="0" w:type="dxa"/>
            <w:bottom w:w="75" w:type="dxa"/>
            <w:right w:w="0" w:type="dxa"/>
          </w:tblCellMar>
        </w:tblPrEx>
        <w:tc>
          <w:tcPr>
            <w:tcW w:w="547"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N п/п</w:t>
            </w:r>
          </w:p>
        </w:tc>
        <w:tc>
          <w:tcPr>
            <w:tcW w:w="5669"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Перечень услуг по погребению</w:t>
            </w:r>
          </w:p>
        </w:tc>
        <w:tc>
          <w:tcPr>
            <w:tcW w:w="1928"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Единица измерения</w:t>
            </w:r>
          </w:p>
        </w:tc>
        <w:tc>
          <w:tcPr>
            <w:tcW w:w="1604"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Предельная стоимость (рублей)</w:t>
            </w:r>
          </w:p>
        </w:tc>
      </w:tr>
      <w:tr>
        <w:tblPrEx>
          <w:tblCellMar>
            <w:top w:w="75" w:type="dxa"/>
            <w:left w:w="0" w:type="dxa"/>
            <w:bottom w:w="75" w:type="dxa"/>
            <w:right w:w="0" w:type="dxa"/>
          </w:tblCellMar>
        </w:tblPrEx>
        <w:tc>
          <w:tcPr>
            <w:tcW w:w="547"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1.</w:t>
            </w:r>
          </w:p>
        </w:tc>
        <w:tc>
          <w:tcPr>
            <w:tcW w:w="5669" w:type="dxa"/>
            <w:tcBorders>
              <w:top w:val="single" w:color="000000" w:sz="4" w:space="0"/>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Оформление документов, необходимых для погребения</w:t>
            </w:r>
          </w:p>
        </w:tc>
        <w:tc>
          <w:tcPr>
            <w:tcW w:w="1928" w:type="dxa"/>
            <w:tcBorders>
              <w:top w:val="single" w:color="000000" w:sz="4" w:space="0"/>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одни похороны</w:t>
            </w:r>
          </w:p>
        </w:tc>
        <w:tc>
          <w:tcPr>
            <w:tcW w:w="1604"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бесплатно</w:t>
            </w:r>
          </w:p>
        </w:tc>
      </w:tr>
      <w:tr>
        <w:tblPrEx>
          <w:tblCellMar>
            <w:top w:w="75" w:type="dxa"/>
            <w:left w:w="0" w:type="dxa"/>
            <w:bottom w:w="75" w:type="dxa"/>
            <w:right w:w="0" w:type="dxa"/>
          </w:tblCellMar>
        </w:tblPrEx>
        <w:trPr>
          <w:cantSplit/>
        </w:trPr>
        <w:tc>
          <w:tcPr>
            <w:tcW w:w="547" w:type="dxa"/>
            <w:vMerge w:val="restart"/>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2.</w:t>
            </w:r>
          </w:p>
        </w:tc>
        <w:tc>
          <w:tcPr>
            <w:tcW w:w="5669" w:type="dxa"/>
            <w:tcBorders>
              <w:top w:val="single" w:color="000000" w:sz="4" w:space="0"/>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Предоставление и доставка гроба и других предметов:</w:t>
            </w:r>
          </w:p>
        </w:tc>
        <w:tc>
          <w:tcPr>
            <w:tcW w:w="1928" w:type="dxa"/>
            <w:tcBorders>
              <w:top w:val="single" w:color="000000" w:sz="4" w:space="0"/>
              <w:left w:val="single" w:color="000000" w:sz="4" w:space="0"/>
              <w:bottom w:val="nil"/>
              <w:right w:val="nil"/>
            </w:tcBorders>
          </w:tcPr>
          <w:p>
            <w:pPr>
              <w:widowControl w:val="0"/>
              <w:suppressAutoHyphens/>
              <w:autoSpaceDE w:val="0"/>
              <w:snapToGrid w:val="0"/>
              <w:rPr>
                <w:rFonts w:ascii="Times New Roman" w:hAnsi="Times New Roman" w:cs="Times New Roman"/>
                <w:b/>
                <w:sz w:val="24"/>
                <w:szCs w:val="24"/>
                <w:lang w:eastAsia="zh-CN"/>
              </w:rPr>
            </w:pPr>
          </w:p>
        </w:tc>
        <w:tc>
          <w:tcPr>
            <w:tcW w:w="1604" w:type="dxa"/>
            <w:tcBorders>
              <w:top w:val="single" w:color="000000" w:sz="4" w:space="0"/>
              <w:left w:val="single" w:color="000000" w:sz="4" w:space="0"/>
              <w:bottom w:val="nil"/>
              <w:right w:val="single" w:color="000000" w:sz="4" w:space="0"/>
            </w:tcBorders>
          </w:tcPr>
          <w:p>
            <w:pPr>
              <w:widowControl w:val="0"/>
              <w:suppressAutoHyphens/>
              <w:autoSpaceDE w:val="0"/>
              <w:snapToGrid w:val="0"/>
              <w:rPr>
                <w:rFonts w:ascii="Times New Roman" w:hAnsi="Times New Roman" w:cs="Times New Roman"/>
                <w:b/>
                <w:sz w:val="24"/>
                <w:szCs w:val="24"/>
                <w:lang w:eastAsia="zh-CN"/>
              </w:rPr>
            </w:pPr>
          </w:p>
        </w:tc>
      </w:tr>
      <w:tr>
        <w:tblPrEx>
          <w:tblCellMar>
            <w:top w:w="75" w:type="dxa"/>
            <w:left w:w="0" w:type="dxa"/>
            <w:bottom w:w="75" w:type="dxa"/>
            <w:right w:w="0" w:type="dxa"/>
          </w:tblCellMar>
        </w:tblPrEx>
        <w:trPr>
          <w:cantSplit/>
        </w:trPr>
        <w:tc>
          <w:tcPr>
            <w:tcW w:w="547"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669"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гроб деревянный недрапированный взрослый;</w:t>
            </w:r>
          </w:p>
        </w:tc>
        <w:tc>
          <w:tcPr>
            <w:tcW w:w="1928"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одна штука</w:t>
            </w:r>
          </w:p>
        </w:tc>
        <w:tc>
          <w:tcPr>
            <w:tcW w:w="1604" w:type="dxa"/>
            <w:tcBorders>
              <w:top w:val="nil"/>
              <w:left w:val="single" w:color="000000" w:sz="4" w:space="0"/>
              <w:bottom w:val="nil"/>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 xml:space="preserve"> 1942,30</w:t>
            </w:r>
          </w:p>
        </w:tc>
      </w:tr>
      <w:tr>
        <w:tblPrEx>
          <w:tblCellMar>
            <w:top w:w="75" w:type="dxa"/>
            <w:left w:w="0" w:type="dxa"/>
            <w:bottom w:w="75" w:type="dxa"/>
            <w:right w:w="0" w:type="dxa"/>
          </w:tblCellMar>
        </w:tblPrEx>
        <w:trPr>
          <w:cantSplit/>
        </w:trPr>
        <w:tc>
          <w:tcPr>
            <w:tcW w:w="547"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669"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погрузка и выгрузка гроба и других предметов в автокатафалк и доставка на дом или в морг</w:t>
            </w:r>
          </w:p>
        </w:tc>
        <w:tc>
          <w:tcPr>
            <w:tcW w:w="1928"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одни похороны</w:t>
            </w:r>
          </w:p>
        </w:tc>
        <w:tc>
          <w:tcPr>
            <w:tcW w:w="1604" w:type="dxa"/>
            <w:tcBorders>
              <w:top w:val="nil"/>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332,38</w:t>
            </w:r>
          </w:p>
        </w:tc>
      </w:tr>
      <w:tr>
        <w:tblPrEx>
          <w:tblCellMar>
            <w:top w:w="75" w:type="dxa"/>
            <w:left w:w="0" w:type="dxa"/>
            <w:bottom w:w="75" w:type="dxa"/>
            <w:right w:w="0" w:type="dxa"/>
          </w:tblCellMar>
        </w:tblPrEx>
        <w:trPr>
          <w:cantSplit/>
        </w:trPr>
        <w:tc>
          <w:tcPr>
            <w:tcW w:w="547" w:type="dxa"/>
            <w:vMerge w:val="restart"/>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3.</w:t>
            </w:r>
          </w:p>
        </w:tc>
        <w:tc>
          <w:tcPr>
            <w:tcW w:w="5669" w:type="dxa"/>
            <w:tcBorders>
              <w:top w:val="single" w:color="000000" w:sz="4" w:space="0"/>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Перевозка тела умершего на кладбище:</w:t>
            </w:r>
          </w:p>
        </w:tc>
        <w:tc>
          <w:tcPr>
            <w:tcW w:w="1928" w:type="dxa"/>
            <w:tcBorders>
              <w:top w:val="single" w:color="000000" w:sz="4" w:space="0"/>
              <w:left w:val="single" w:color="000000" w:sz="4" w:space="0"/>
              <w:bottom w:val="nil"/>
              <w:right w:val="nil"/>
            </w:tcBorders>
          </w:tcPr>
          <w:p>
            <w:pPr>
              <w:widowControl w:val="0"/>
              <w:suppressAutoHyphens/>
              <w:autoSpaceDE w:val="0"/>
              <w:snapToGrid w:val="0"/>
              <w:rPr>
                <w:rFonts w:ascii="Times New Roman" w:hAnsi="Times New Roman" w:cs="Times New Roman"/>
                <w:b/>
                <w:sz w:val="24"/>
                <w:szCs w:val="24"/>
                <w:lang w:eastAsia="zh-CN"/>
              </w:rPr>
            </w:pPr>
          </w:p>
        </w:tc>
        <w:tc>
          <w:tcPr>
            <w:tcW w:w="1604" w:type="dxa"/>
            <w:tcBorders>
              <w:top w:val="single" w:color="000000" w:sz="4" w:space="0"/>
              <w:left w:val="single" w:color="000000" w:sz="4" w:space="0"/>
              <w:bottom w:val="nil"/>
              <w:right w:val="single" w:color="000000" w:sz="4" w:space="0"/>
            </w:tcBorders>
          </w:tcPr>
          <w:p>
            <w:pPr>
              <w:widowControl w:val="0"/>
              <w:suppressAutoHyphens/>
              <w:autoSpaceDE w:val="0"/>
              <w:snapToGrid w:val="0"/>
              <w:rPr>
                <w:rFonts w:ascii="Times New Roman" w:hAnsi="Times New Roman" w:cs="Times New Roman"/>
                <w:b/>
                <w:sz w:val="24"/>
                <w:szCs w:val="24"/>
                <w:lang w:eastAsia="zh-CN"/>
              </w:rPr>
            </w:pPr>
          </w:p>
        </w:tc>
      </w:tr>
      <w:tr>
        <w:tblPrEx>
          <w:tblCellMar>
            <w:top w:w="75" w:type="dxa"/>
            <w:left w:w="0" w:type="dxa"/>
            <w:bottom w:w="75" w:type="dxa"/>
            <w:right w:w="0" w:type="dxa"/>
          </w:tblCellMar>
        </w:tblPrEx>
        <w:trPr>
          <w:cantSplit/>
        </w:trPr>
        <w:tc>
          <w:tcPr>
            <w:tcW w:w="547"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669"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rPr>
              <w:t xml:space="preserve"> Облачение тела, вынос гроба с телом из морга или дома;</w:t>
            </w:r>
          </w:p>
        </w:tc>
        <w:tc>
          <w:tcPr>
            <w:tcW w:w="1928"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rPr>
              <w:t>одни похороны</w:t>
            </w:r>
          </w:p>
        </w:tc>
        <w:tc>
          <w:tcPr>
            <w:tcW w:w="1604" w:type="dxa"/>
            <w:tcBorders>
              <w:top w:val="nil"/>
              <w:left w:val="single" w:color="000000" w:sz="4" w:space="0"/>
              <w:bottom w:val="nil"/>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shd w:val="clear" w:color="auto" w:fill="FFFFFF"/>
              </w:rPr>
              <w:t>333,03</w:t>
            </w:r>
          </w:p>
        </w:tc>
      </w:tr>
      <w:tr>
        <w:tblPrEx>
          <w:tblCellMar>
            <w:top w:w="75" w:type="dxa"/>
            <w:left w:w="0" w:type="dxa"/>
            <w:bottom w:w="75" w:type="dxa"/>
            <w:right w:w="0" w:type="dxa"/>
          </w:tblCellMar>
        </w:tblPrEx>
        <w:trPr>
          <w:cantSplit/>
        </w:trPr>
        <w:tc>
          <w:tcPr>
            <w:tcW w:w="547"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669"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услуги автокатафалка</w:t>
            </w:r>
          </w:p>
        </w:tc>
        <w:tc>
          <w:tcPr>
            <w:tcW w:w="1928"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одни похороны</w:t>
            </w:r>
          </w:p>
        </w:tc>
        <w:tc>
          <w:tcPr>
            <w:tcW w:w="1604" w:type="dxa"/>
            <w:tcBorders>
              <w:top w:val="nil"/>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1187,05</w:t>
            </w:r>
          </w:p>
        </w:tc>
      </w:tr>
      <w:tr>
        <w:tblPrEx>
          <w:tblCellMar>
            <w:top w:w="75" w:type="dxa"/>
            <w:left w:w="0" w:type="dxa"/>
            <w:bottom w:w="75" w:type="dxa"/>
            <w:right w:w="0" w:type="dxa"/>
          </w:tblCellMar>
        </w:tblPrEx>
        <w:trPr>
          <w:cantSplit/>
        </w:trPr>
        <w:tc>
          <w:tcPr>
            <w:tcW w:w="547" w:type="dxa"/>
            <w:vMerge w:val="restart"/>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4.</w:t>
            </w:r>
          </w:p>
        </w:tc>
        <w:tc>
          <w:tcPr>
            <w:tcW w:w="5669" w:type="dxa"/>
            <w:tcBorders>
              <w:top w:val="single" w:color="000000" w:sz="4" w:space="0"/>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Погребение:</w:t>
            </w:r>
          </w:p>
        </w:tc>
        <w:tc>
          <w:tcPr>
            <w:tcW w:w="1928" w:type="dxa"/>
            <w:tcBorders>
              <w:top w:val="single" w:color="000000" w:sz="4" w:space="0"/>
              <w:left w:val="single" w:color="000000" w:sz="4" w:space="0"/>
              <w:bottom w:val="nil"/>
              <w:right w:val="nil"/>
            </w:tcBorders>
          </w:tcPr>
          <w:p>
            <w:pPr>
              <w:widowControl w:val="0"/>
              <w:suppressAutoHyphens/>
              <w:autoSpaceDE w:val="0"/>
              <w:snapToGrid w:val="0"/>
              <w:rPr>
                <w:rFonts w:ascii="Times New Roman" w:hAnsi="Times New Roman" w:cs="Times New Roman"/>
                <w:b/>
                <w:sz w:val="24"/>
                <w:szCs w:val="24"/>
                <w:lang w:eastAsia="zh-CN"/>
              </w:rPr>
            </w:pPr>
          </w:p>
        </w:tc>
        <w:tc>
          <w:tcPr>
            <w:tcW w:w="1604" w:type="dxa"/>
            <w:tcBorders>
              <w:top w:val="single" w:color="000000" w:sz="4" w:space="0"/>
              <w:left w:val="single" w:color="000000" w:sz="4" w:space="0"/>
              <w:bottom w:val="nil"/>
              <w:right w:val="single" w:color="000000" w:sz="4" w:space="0"/>
            </w:tcBorders>
          </w:tcPr>
          <w:p>
            <w:pPr>
              <w:widowControl w:val="0"/>
              <w:suppressAutoHyphens/>
              <w:autoSpaceDE w:val="0"/>
              <w:snapToGrid w:val="0"/>
              <w:rPr>
                <w:rFonts w:ascii="Times New Roman" w:hAnsi="Times New Roman" w:cs="Times New Roman"/>
                <w:b/>
                <w:sz w:val="24"/>
                <w:szCs w:val="24"/>
                <w:lang w:eastAsia="zh-CN"/>
              </w:rPr>
            </w:pPr>
          </w:p>
        </w:tc>
      </w:tr>
      <w:tr>
        <w:tblPrEx>
          <w:tblCellMar>
            <w:top w:w="75" w:type="dxa"/>
            <w:left w:w="0" w:type="dxa"/>
            <w:bottom w:w="75" w:type="dxa"/>
            <w:right w:w="0" w:type="dxa"/>
          </w:tblCellMar>
        </w:tblPrEx>
        <w:trPr>
          <w:cantSplit/>
        </w:trPr>
        <w:tc>
          <w:tcPr>
            <w:tcW w:w="547"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669"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разметка, расчистка места для могилы, рытье могилы механизированным способом (без надмогильных сооружений);</w:t>
            </w:r>
          </w:p>
        </w:tc>
        <w:tc>
          <w:tcPr>
            <w:tcW w:w="1928"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одна могила</w:t>
            </w:r>
          </w:p>
        </w:tc>
        <w:tc>
          <w:tcPr>
            <w:tcW w:w="1604" w:type="dxa"/>
            <w:tcBorders>
              <w:top w:val="nil"/>
              <w:left w:val="single" w:color="000000" w:sz="4" w:space="0"/>
              <w:bottom w:val="nil"/>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1228,94</w:t>
            </w:r>
          </w:p>
        </w:tc>
      </w:tr>
      <w:tr>
        <w:tblPrEx>
          <w:tblCellMar>
            <w:top w:w="75" w:type="dxa"/>
            <w:left w:w="0" w:type="dxa"/>
            <w:bottom w:w="75" w:type="dxa"/>
            <w:right w:w="0" w:type="dxa"/>
          </w:tblCellMar>
        </w:tblPrEx>
        <w:trPr>
          <w:cantSplit/>
        </w:trPr>
        <w:tc>
          <w:tcPr>
            <w:tcW w:w="547"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669"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поднос гроба с телом умершего на кладбище;</w:t>
            </w:r>
          </w:p>
        </w:tc>
        <w:tc>
          <w:tcPr>
            <w:tcW w:w="1928"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одни похороны</w:t>
            </w:r>
          </w:p>
        </w:tc>
        <w:tc>
          <w:tcPr>
            <w:tcW w:w="1604" w:type="dxa"/>
            <w:tcBorders>
              <w:top w:val="nil"/>
              <w:left w:val="single" w:color="000000" w:sz="4" w:space="0"/>
              <w:bottom w:val="nil"/>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333,03</w:t>
            </w:r>
          </w:p>
        </w:tc>
      </w:tr>
      <w:tr>
        <w:tblPrEx>
          <w:tblCellMar>
            <w:top w:w="75" w:type="dxa"/>
            <w:left w:w="0" w:type="dxa"/>
            <w:bottom w:w="75" w:type="dxa"/>
            <w:right w:w="0" w:type="dxa"/>
          </w:tblCellMar>
        </w:tblPrEx>
        <w:trPr>
          <w:cantSplit/>
        </w:trPr>
        <w:tc>
          <w:tcPr>
            <w:tcW w:w="547"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669"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погребение (опускание гроба в могилу, закапывание могилы, устройство надмогильного холма и установка регистрационной таблички)</w:t>
            </w:r>
          </w:p>
        </w:tc>
        <w:tc>
          <w:tcPr>
            <w:tcW w:w="1928"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одни похороны</w:t>
            </w:r>
          </w:p>
        </w:tc>
        <w:tc>
          <w:tcPr>
            <w:tcW w:w="1604" w:type="dxa"/>
            <w:tcBorders>
              <w:top w:val="nil"/>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768,13</w:t>
            </w:r>
          </w:p>
        </w:tc>
      </w:tr>
      <w:tr>
        <w:tblPrEx>
          <w:tblCellMar>
            <w:top w:w="75" w:type="dxa"/>
            <w:left w:w="0" w:type="dxa"/>
            <w:bottom w:w="75" w:type="dxa"/>
            <w:right w:w="0" w:type="dxa"/>
          </w:tblCellMar>
        </w:tblPrEx>
        <w:tc>
          <w:tcPr>
            <w:tcW w:w="547" w:type="dxa"/>
            <w:tcBorders>
              <w:top w:val="single" w:color="000000" w:sz="4" w:space="0"/>
              <w:left w:val="single" w:color="000000" w:sz="4" w:space="0"/>
              <w:bottom w:val="single" w:color="000000" w:sz="4" w:space="0"/>
              <w:right w:val="nil"/>
            </w:tcBorders>
          </w:tcPr>
          <w:p>
            <w:pPr>
              <w:widowControl w:val="0"/>
              <w:suppressAutoHyphens/>
              <w:autoSpaceDE w:val="0"/>
              <w:snapToGrid w:val="0"/>
              <w:rPr>
                <w:rFonts w:ascii="Times New Roman" w:hAnsi="Times New Roman" w:cs="Times New Roman"/>
                <w:b/>
                <w:sz w:val="24"/>
                <w:szCs w:val="24"/>
                <w:lang w:eastAsia="zh-CN"/>
              </w:rPr>
            </w:pPr>
            <w:r>
              <w:rPr>
                <w:rFonts w:ascii="Times New Roman" w:hAnsi="Times New Roman" w:cs="Times New Roman"/>
                <w:b/>
                <w:sz w:val="24"/>
                <w:szCs w:val="24"/>
              </w:rPr>
              <w:t xml:space="preserve"> 5.</w:t>
            </w:r>
          </w:p>
        </w:tc>
        <w:tc>
          <w:tcPr>
            <w:tcW w:w="5669" w:type="dxa"/>
            <w:tcBorders>
              <w:top w:val="single" w:color="000000" w:sz="4" w:space="0"/>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Всего</w:t>
            </w:r>
          </w:p>
        </w:tc>
        <w:tc>
          <w:tcPr>
            <w:tcW w:w="1928" w:type="dxa"/>
            <w:tcBorders>
              <w:top w:val="single" w:color="000000" w:sz="4" w:space="0"/>
              <w:left w:val="single" w:color="000000" w:sz="4" w:space="0"/>
              <w:bottom w:val="single" w:color="000000" w:sz="4" w:space="0"/>
              <w:right w:val="nil"/>
            </w:tcBorders>
          </w:tcPr>
          <w:p>
            <w:pPr>
              <w:widowControl w:val="0"/>
              <w:suppressAutoHyphens/>
              <w:autoSpaceDE w:val="0"/>
              <w:snapToGrid w:val="0"/>
              <w:rPr>
                <w:rFonts w:ascii="Times New Roman" w:hAnsi="Times New Roman" w:cs="Times New Roman"/>
                <w:b/>
                <w:sz w:val="24"/>
                <w:szCs w:val="24"/>
                <w:lang w:eastAsia="zh-CN"/>
              </w:rPr>
            </w:pPr>
          </w:p>
        </w:tc>
        <w:tc>
          <w:tcPr>
            <w:tcW w:w="1604"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 xml:space="preserve"> 6124,86</w:t>
            </w:r>
          </w:p>
        </w:tc>
      </w:tr>
    </w:tbl>
    <w:p>
      <w:pPr>
        <w:autoSpaceDE w:val="0"/>
        <w:jc w:val="right"/>
        <w:rPr>
          <w:rFonts w:ascii="Times New Roman" w:hAnsi="Times New Roman" w:cs="Times New Roman"/>
          <w:b/>
          <w:sz w:val="24"/>
          <w:szCs w:val="24"/>
          <w:lang w:eastAsia="zh-CN"/>
        </w:rPr>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pStyle w:val="8"/>
        <w:widowControl/>
      </w:pPr>
    </w:p>
    <w:p>
      <w:pPr>
        <w:autoSpaceDE w:val="0"/>
        <w:rPr>
          <w:rFonts w:ascii="Times New Roman" w:hAnsi="Times New Roman" w:cs="Times New Roman"/>
          <w:b/>
          <w:sz w:val="24"/>
          <w:szCs w:val="24"/>
        </w:rPr>
      </w:pPr>
      <w:r>
        <w:rPr>
          <w:rFonts w:ascii="Times New Roman" w:hAnsi="Times New Roman" w:cs="Times New Roman"/>
          <w:b/>
          <w:sz w:val="24"/>
          <w:szCs w:val="24"/>
        </w:rPr>
        <w:t xml:space="preserve">                                                                                                    </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ПРИЛОЖЕНИЕ № 2</w:t>
      </w:r>
    </w:p>
    <w:p>
      <w:pPr>
        <w:autoSpaceDE w:val="0"/>
        <w:jc w:val="right"/>
        <w:rPr>
          <w:rFonts w:ascii="Times New Roman" w:hAnsi="Times New Roman" w:cs="Times New Roman"/>
          <w:b/>
          <w:sz w:val="24"/>
          <w:szCs w:val="24"/>
        </w:rPr>
      </w:pPr>
      <w:r>
        <w:rPr>
          <w:rFonts w:ascii="Times New Roman" w:hAnsi="Times New Roman" w:cs="Times New Roman"/>
          <w:b/>
          <w:sz w:val="24"/>
          <w:szCs w:val="24"/>
        </w:rPr>
        <w:t>к решению Среднецарицынского сельского Совета</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УТВЕРЖДЕНО:</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решением  Среднецарицынского</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сельского Совета</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w:t>
      </w:r>
    </w:p>
    <w:p>
      <w:pPr>
        <w:pStyle w:val="8"/>
        <w:widowControl/>
        <w:jc w:val="center"/>
      </w:pPr>
      <w:r>
        <w:t>ХАРАКТЕРИСТИКА</w:t>
      </w:r>
    </w:p>
    <w:p>
      <w:pPr>
        <w:pStyle w:val="8"/>
        <w:widowControl/>
        <w:jc w:val="center"/>
      </w:pPr>
      <w:r>
        <w:t>УСЛУГ, ПРЕДУСМОТРЕННЫХ ГАРАНТИРОВАННЫМ ПЕРЕЧНЕМ</w:t>
      </w:r>
    </w:p>
    <w:p>
      <w:pPr>
        <w:pStyle w:val="8"/>
        <w:widowControl/>
        <w:jc w:val="center"/>
      </w:pPr>
      <w:r>
        <w:t>УСЛУГ ПО ПОГРЕБЕНИЮ</w:t>
      </w:r>
    </w:p>
    <w:tbl>
      <w:tblPr>
        <w:tblStyle w:val="5"/>
        <w:tblW w:w="0" w:type="auto"/>
        <w:tblInd w:w="70" w:type="dxa"/>
        <w:tblLayout w:type="fixed"/>
        <w:tblCellMar>
          <w:top w:w="0" w:type="dxa"/>
          <w:left w:w="70" w:type="dxa"/>
          <w:bottom w:w="0" w:type="dxa"/>
          <w:right w:w="70" w:type="dxa"/>
        </w:tblCellMar>
      </w:tblPr>
      <w:tblGrid>
        <w:gridCol w:w="540"/>
        <w:gridCol w:w="3240"/>
        <w:gridCol w:w="6135"/>
      </w:tblGrid>
      <w:tr>
        <w:tblPrEx>
          <w:tblCellMar>
            <w:top w:w="0" w:type="dxa"/>
            <w:left w:w="70" w:type="dxa"/>
            <w:bottom w:w="0" w:type="dxa"/>
            <w:right w:w="70" w:type="dxa"/>
          </w:tblCellMar>
        </w:tblPrEx>
        <w:trPr>
          <w:cantSplit/>
          <w:trHeight w:val="360" w:hRule="atLeast"/>
        </w:trPr>
        <w:tc>
          <w:tcPr>
            <w:tcW w:w="540" w:type="dxa"/>
            <w:tcBorders>
              <w:top w:val="single" w:color="000000" w:sz="6" w:space="0"/>
              <w:left w:val="single" w:color="000000" w:sz="6" w:space="0"/>
              <w:bottom w:val="single" w:color="000000" w:sz="6" w:space="0"/>
              <w:right w:val="nil"/>
            </w:tcBorders>
          </w:tcPr>
          <w:p>
            <w:pPr>
              <w:pStyle w:val="9"/>
              <w:widowControl/>
              <w:rPr>
                <w:rFonts w:ascii="Times New Roman" w:hAnsi="Times New Roman" w:cs="Times New Roman"/>
                <w:b/>
                <w:sz w:val="24"/>
                <w:szCs w:val="24"/>
              </w:rPr>
            </w:pPr>
            <w:r>
              <w:rPr>
                <w:rFonts w:ascii="Times New Roman" w:hAnsi="Times New Roman" w:cs="Times New Roman"/>
                <w:b/>
                <w:sz w:val="24"/>
                <w:szCs w:val="24"/>
              </w:rPr>
              <w:t>N п/п</w:t>
            </w:r>
          </w:p>
        </w:tc>
        <w:tc>
          <w:tcPr>
            <w:tcW w:w="3240" w:type="dxa"/>
            <w:tcBorders>
              <w:top w:val="single" w:color="000000" w:sz="6" w:space="0"/>
              <w:left w:val="single" w:color="000000" w:sz="6" w:space="0"/>
              <w:bottom w:val="single" w:color="000000" w:sz="6" w:space="0"/>
              <w:right w:val="nil"/>
            </w:tcBorders>
          </w:tcPr>
          <w:p>
            <w:pPr>
              <w:pStyle w:val="9"/>
              <w:widowControl/>
              <w:rPr>
                <w:rFonts w:ascii="Times New Roman" w:hAnsi="Times New Roman" w:cs="Times New Roman"/>
                <w:b/>
                <w:sz w:val="24"/>
                <w:szCs w:val="24"/>
              </w:rPr>
            </w:pPr>
            <w:r>
              <w:rPr>
                <w:rFonts w:ascii="Times New Roman" w:hAnsi="Times New Roman" w:cs="Times New Roman"/>
                <w:b/>
                <w:sz w:val="24"/>
                <w:szCs w:val="24"/>
              </w:rPr>
              <w:t>Наименование услуг</w:t>
            </w:r>
          </w:p>
        </w:tc>
        <w:tc>
          <w:tcPr>
            <w:tcW w:w="6135" w:type="dxa"/>
            <w:tcBorders>
              <w:top w:val="single" w:color="000000" w:sz="6" w:space="0"/>
              <w:left w:val="single" w:color="000000" w:sz="6" w:space="0"/>
              <w:bottom w:val="single" w:color="000000" w:sz="6" w:space="0"/>
              <w:right w:val="single" w:color="000000" w:sz="6" w:space="0"/>
            </w:tcBorders>
          </w:tcPr>
          <w:p>
            <w:pPr>
              <w:pStyle w:val="9"/>
              <w:widowControl/>
              <w:rPr>
                <w:rFonts w:ascii="Times New Roman" w:hAnsi="Times New Roman" w:cs="Times New Roman"/>
                <w:b/>
                <w:sz w:val="24"/>
                <w:szCs w:val="24"/>
              </w:rPr>
            </w:pPr>
            <w:r>
              <w:rPr>
                <w:rFonts w:ascii="Times New Roman" w:hAnsi="Times New Roman" w:cs="Times New Roman"/>
                <w:b/>
                <w:sz w:val="24"/>
                <w:szCs w:val="24"/>
              </w:rPr>
              <w:t>Краткое описание работ по времени</w:t>
            </w:r>
          </w:p>
        </w:tc>
      </w:tr>
      <w:tr>
        <w:tblPrEx>
          <w:tblCellMar>
            <w:top w:w="0" w:type="dxa"/>
            <w:left w:w="70" w:type="dxa"/>
            <w:bottom w:w="0" w:type="dxa"/>
            <w:right w:w="70" w:type="dxa"/>
          </w:tblCellMar>
        </w:tblPrEx>
        <w:trPr>
          <w:cantSplit/>
          <w:trHeight w:val="360" w:hRule="atLeast"/>
        </w:trPr>
        <w:tc>
          <w:tcPr>
            <w:tcW w:w="540" w:type="dxa"/>
            <w:tcBorders>
              <w:top w:val="single" w:color="000000" w:sz="6" w:space="0"/>
              <w:left w:val="single" w:color="000000" w:sz="6" w:space="0"/>
              <w:bottom w:val="single" w:color="000000" w:sz="6" w:space="0"/>
              <w:right w:val="nil"/>
            </w:tcBorders>
          </w:tcPr>
          <w:p>
            <w:pPr>
              <w:pStyle w:val="9"/>
              <w:widowControl/>
              <w:rPr>
                <w:rFonts w:ascii="Times New Roman" w:hAnsi="Times New Roman" w:cs="Times New Roman"/>
                <w:b/>
                <w:sz w:val="24"/>
                <w:szCs w:val="24"/>
              </w:rPr>
            </w:pPr>
            <w:r>
              <w:rPr>
                <w:rFonts w:ascii="Times New Roman" w:hAnsi="Times New Roman" w:cs="Times New Roman"/>
                <w:b/>
                <w:sz w:val="24"/>
                <w:szCs w:val="24"/>
              </w:rPr>
              <w:t>1.</w:t>
            </w:r>
          </w:p>
        </w:tc>
        <w:tc>
          <w:tcPr>
            <w:tcW w:w="3240" w:type="dxa"/>
            <w:tcBorders>
              <w:top w:val="single" w:color="000000" w:sz="6" w:space="0"/>
              <w:left w:val="single" w:color="000000" w:sz="6" w:space="0"/>
              <w:bottom w:val="single" w:color="000000" w:sz="6" w:space="0"/>
              <w:right w:val="nil"/>
            </w:tcBorders>
          </w:tcPr>
          <w:p>
            <w:pPr>
              <w:pStyle w:val="9"/>
              <w:widowControl/>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tc>
        <w:tc>
          <w:tcPr>
            <w:tcW w:w="6135" w:type="dxa"/>
            <w:tcBorders>
              <w:top w:val="single" w:color="000000" w:sz="6" w:space="0"/>
              <w:left w:val="single" w:color="000000" w:sz="6" w:space="0"/>
              <w:bottom w:val="single" w:color="000000" w:sz="6" w:space="0"/>
              <w:right w:val="single" w:color="000000" w:sz="6" w:space="0"/>
            </w:tcBorders>
          </w:tcPr>
          <w:p>
            <w:pPr>
              <w:pStyle w:val="9"/>
              <w:widowControl/>
              <w:jc w:val="center"/>
              <w:rPr>
                <w:rFonts w:ascii="Times New Roman" w:hAnsi="Times New Roman" w:cs="Times New Roman"/>
                <w:b/>
                <w:sz w:val="24"/>
                <w:szCs w:val="24"/>
              </w:rPr>
            </w:pPr>
            <w:r>
              <w:rPr>
                <w:rFonts w:ascii="Times New Roman" w:hAnsi="Times New Roman" w:cs="Times New Roman"/>
                <w:b/>
                <w:sz w:val="24"/>
                <w:szCs w:val="24"/>
              </w:rPr>
              <w:t>Получение документов, удостоверяющих личность умершего. Выяснение места нахождения покойного, выезд в поликлинику, больницу или морг для оформления документов. Выезд в орган ЗАГСа для получения свидетельства о смерти и справки для получения пособия на погребение. Доставка документов заказчику</w:t>
            </w:r>
          </w:p>
        </w:tc>
      </w:tr>
      <w:tr>
        <w:tblPrEx>
          <w:tblCellMar>
            <w:top w:w="0" w:type="dxa"/>
            <w:left w:w="70" w:type="dxa"/>
            <w:bottom w:w="0" w:type="dxa"/>
            <w:right w:w="70" w:type="dxa"/>
          </w:tblCellMar>
        </w:tblPrEx>
        <w:trPr>
          <w:cantSplit/>
          <w:trHeight w:val="360" w:hRule="atLeast"/>
        </w:trPr>
        <w:tc>
          <w:tcPr>
            <w:tcW w:w="540" w:type="dxa"/>
            <w:tcBorders>
              <w:top w:val="single" w:color="000000" w:sz="6" w:space="0"/>
              <w:left w:val="single" w:color="000000" w:sz="6" w:space="0"/>
              <w:bottom w:val="single" w:color="000000" w:sz="6" w:space="0"/>
              <w:right w:val="nil"/>
            </w:tcBorders>
          </w:tcPr>
          <w:p>
            <w:pPr>
              <w:pStyle w:val="9"/>
              <w:widowControl/>
              <w:rPr>
                <w:rFonts w:ascii="Times New Roman" w:hAnsi="Times New Roman" w:cs="Times New Roman"/>
                <w:b/>
                <w:sz w:val="24"/>
                <w:szCs w:val="24"/>
              </w:rPr>
            </w:pPr>
            <w:r>
              <w:rPr>
                <w:rFonts w:ascii="Times New Roman" w:hAnsi="Times New Roman" w:cs="Times New Roman"/>
                <w:b/>
                <w:sz w:val="24"/>
                <w:szCs w:val="24"/>
              </w:rPr>
              <w:t>2.</w:t>
            </w:r>
          </w:p>
        </w:tc>
        <w:tc>
          <w:tcPr>
            <w:tcW w:w="3240" w:type="dxa"/>
            <w:tcBorders>
              <w:top w:val="single" w:color="000000" w:sz="6" w:space="0"/>
              <w:left w:val="single" w:color="000000" w:sz="6" w:space="0"/>
              <w:bottom w:val="single" w:color="000000" w:sz="6" w:space="0"/>
              <w:right w:val="nil"/>
            </w:tcBorders>
          </w:tcPr>
          <w:p>
            <w:pPr>
              <w:pStyle w:val="9"/>
              <w:widowControl/>
              <w:jc w:val="center"/>
              <w:rPr>
                <w:rFonts w:ascii="Times New Roman" w:hAnsi="Times New Roman" w:cs="Times New Roman"/>
                <w:b/>
                <w:sz w:val="24"/>
                <w:szCs w:val="24"/>
              </w:rPr>
            </w:pPr>
            <w:r>
              <w:rPr>
                <w:rFonts w:ascii="Times New Roman" w:hAnsi="Times New Roman" w:cs="Times New Roman"/>
                <w:b/>
                <w:sz w:val="24"/>
                <w:szCs w:val="24"/>
              </w:rPr>
              <w:t>Предоставление гроба</w:t>
            </w:r>
          </w:p>
        </w:tc>
        <w:tc>
          <w:tcPr>
            <w:tcW w:w="6135" w:type="dxa"/>
            <w:tcBorders>
              <w:top w:val="single" w:color="000000" w:sz="6" w:space="0"/>
              <w:left w:val="single" w:color="000000" w:sz="6" w:space="0"/>
              <w:bottom w:val="single" w:color="000000" w:sz="6" w:space="0"/>
              <w:right w:val="single" w:color="000000" w:sz="6" w:space="0"/>
            </w:tcBorders>
          </w:tcPr>
          <w:p>
            <w:pPr>
              <w:pStyle w:val="9"/>
              <w:widowControl/>
              <w:jc w:val="center"/>
              <w:rPr>
                <w:rFonts w:ascii="Times New Roman" w:hAnsi="Times New Roman" w:cs="Times New Roman"/>
                <w:b/>
                <w:sz w:val="24"/>
                <w:szCs w:val="24"/>
              </w:rPr>
            </w:pPr>
            <w:r>
              <w:rPr>
                <w:rFonts w:ascii="Times New Roman" w:hAnsi="Times New Roman" w:cs="Times New Roman"/>
                <w:b/>
                <w:sz w:val="24"/>
                <w:szCs w:val="24"/>
              </w:rPr>
              <w:t>Гроб стандартный строганый из натуральных пиломатериалов толщиной 25 - 32 мм, обитый внутри пленкой, с ножками (размер 2,0 x 0,7 x 0,7 м)</w:t>
            </w:r>
          </w:p>
        </w:tc>
      </w:tr>
      <w:tr>
        <w:tblPrEx>
          <w:tblCellMar>
            <w:top w:w="0" w:type="dxa"/>
            <w:left w:w="70" w:type="dxa"/>
            <w:bottom w:w="0" w:type="dxa"/>
            <w:right w:w="70" w:type="dxa"/>
          </w:tblCellMar>
        </w:tblPrEx>
        <w:trPr>
          <w:cantSplit/>
          <w:trHeight w:val="360" w:hRule="atLeast"/>
        </w:trPr>
        <w:tc>
          <w:tcPr>
            <w:tcW w:w="540" w:type="dxa"/>
            <w:tcBorders>
              <w:top w:val="single" w:color="000000" w:sz="6" w:space="0"/>
              <w:left w:val="single" w:color="000000" w:sz="6" w:space="0"/>
              <w:bottom w:val="single" w:color="000000" w:sz="6" w:space="0"/>
              <w:right w:val="nil"/>
            </w:tcBorders>
          </w:tcPr>
          <w:p>
            <w:pPr>
              <w:pStyle w:val="9"/>
              <w:widowControl/>
              <w:snapToGrid w:val="0"/>
              <w:jc w:val="center"/>
              <w:rPr>
                <w:rFonts w:ascii="Times New Roman" w:hAnsi="Times New Roman" w:cs="Times New Roman"/>
                <w:b/>
                <w:sz w:val="24"/>
                <w:szCs w:val="24"/>
              </w:rPr>
            </w:pPr>
          </w:p>
        </w:tc>
        <w:tc>
          <w:tcPr>
            <w:tcW w:w="3240" w:type="dxa"/>
            <w:tcBorders>
              <w:top w:val="single" w:color="000000" w:sz="6" w:space="0"/>
              <w:left w:val="single" w:color="000000" w:sz="6" w:space="0"/>
              <w:bottom w:val="single" w:color="000000" w:sz="6" w:space="0"/>
              <w:right w:val="nil"/>
            </w:tcBorders>
          </w:tcPr>
          <w:p>
            <w:pPr>
              <w:pStyle w:val="9"/>
              <w:widowControl/>
              <w:jc w:val="center"/>
              <w:rPr>
                <w:rFonts w:ascii="Times New Roman" w:hAnsi="Times New Roman" w:cs="Times New Roman"/>
                <w:b/>
                <w:sz w:val="24"/>
                <w:szCs w:val="24"/>
              </w:rPr>
            </w:pPr>
            <w:r>
              <w:rPr>
                <w:rFonts w:ascii="Times New Roman" w:hAnsi="Times New Roman" w:cs="Times New Roman"/>
                <w:b/>
                <w:sz w:val="24"/>
                <w:szCs w:val="24"/>
              </w:rPr>
              <w:t>Доставка гроба и похоронных принадлежностей (венки, цветы и пр.) из магазина-салона на дом или в морг</w:t>
            </w:r>
          </w:p>
        </w:tc>
        <w:tc>
          <w:tcPr>
            <w:tcW w:w="6135" w:type="dxa"/>
            <w:tcBorders>
              <w:top w:val="single" w:color="000000" w:sz="6" w:space="0"/>
              <w:left w:val="single" w:color="000000" w:sz="6" w:space="0"/>
              <w:bottom w:val="single" w:color="000000" w:sz="6" w:space="0"/>
              <w:right w:val="single" w:color="000000" w:sz="6" w:space="0"/>
            </w:tcBorders>
          </w:tcPr>
          <w:p>
            <w:pPr>
              <w:pStyle w:val="9"/>
              <w:widowControl/>
              <w:jc w:val="center"/>
              <w:rPr>
                <w:rFonts w:ascii="Times New Roman" w:hAnsi="Times New Roman" w:cs="Times New Roman"/>
                <w:b/>
                <w:sz w:val="24"/>
                <w:szCs w:val="24"/>
              </w:rPr>
            </w:pPr>
            <w:r>
              <w:rPr>
                <w:rFonts w:ascii="Times New Roman" w:hAnsi="Times New Roman" w:cs="Times New Roman"/>
                <w:b/>
                <w:sz w:val="24"/>
                <w:szCs w:val="24"/>
              </w:rPr>
              <w:t>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в место нахождения тела (умершего) на расстояние до 15 км, включая обратный холостой пробег</w:t>
            </w:r>
          </w:p>
        </w:tc>
      </w:tr>
      <w:tr>
        <w:tblPrEx>
          <w:tblCellMar>
            <w:top w:w="0" w:type="dxa"/>
            <w:left w:w="70" w:type="dxa"/>
            <w:bottom w:w="0" w:type="dxa"/>
            <w:right w:w="70" w:type="dxa"/>
          </w:tblCellMar>
        </w:tblPrEx>
        <w:trPr>
          <w:cantSplit/>
          <w:trHeight w:val="360" w:hRule="atLeast"/>
        </w:trPr>
        <w:tc>
          <w:tcPr>
            <w:tcW w:w="540" w:type="dxa"/>
            <w:tcBorders>
              <w:top w:val="single" w:color="000000" w:sz="6" w:space="0"/>
              <w:left w:val="single" w:color="000000" w:sz="6" w:space="0"/>
              <w:bottom w:val="single" w:color="000000" w:sz="6" w:space="0"/>
              <w:right w:val="nil"/>
            </w:tcBorders>
          </w:tcPr>
          <w:p>
            <w:pPr>
              <w:pStyle w:val="9"/>
              <w:widowControl/>
              <w:rPr>
                <w:rFonts w:ascii="Times New Roman" w:hAnsi="Times New Roman" w:cs="Times New Roman"/>
                <w:b/>
                <w:sz w:val="24"/>
                <w:szCs w:val="24"/>
              </w:rPr>
            </w:pPr>
            <w:r>
              <w:rPr>
                <w:rFonts w:ascii="Times New Roman" w:hAnsi="Times New Roman" w:cs="Times New Roman"/>
                <w:b/>
                <w:sz w:val="24"/>
                <w:szCs w:val="24"/>
              </w:rPr>
              <w:t>3.</w:t>
            </w:r>
          </w:p>
        </w:tc>
        <w:tc>
          <w:tcPr>
            <w:tcW w:w="3240" w:type="dxa"/>
            <w:tcBorders>
              <w:top w:val="single" w:color="000000" w:sz="6" w:space="0"/>
              <w:left w:val="single" w:color="000000" w:sz="6" w:space="0"/>
              <w:bottom w:val="single" w:color="000000" w:sz="6" w:space="0"/>
              <w:right w:val="nil"/>
            </w:tcBorders>
          </w:tcPr>
          <w:p>
            <w:pPr>
              <w:pStyle w:val="9"/>
              <w:widowControl/>
              <w:jc w:val="center"/>
              <w:rPr>
                <w:rFonts w:ascii="Times New Roman" w:hAnsi="Times New Roman" w:cs="Times New Roman"/>
                <w:b/>
                <w:sz w:val="24"/>
                <w:szCs w:val="24"/>
              </w:rPr>
            </w:pPr>
            <w:r>
              <w:rPr>
                <w:rFonts w:ascii="Times New Roman" w:hAnsi="Times New Roman" w:cs="Times New Roman"/>
                <w:b/>
                <w:sz w:val="24"/>
                <w:szCs w:val="24"/>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135" w:type="dxa"/>
            <w:tcBorders>
              <w:top w:val="single" w:color="000000" w:sz="6" w:space="0"/>
              <w:left w:val="single" w:color="000000" w:sz="6" w:space="0"/>
              <w:bottom w:val="single" w:color="000000" w:sz="6" w:space="0"/>
              <w:right w:val="single" w:color="000000" w:sz="6" w:space="0"/>
            </w:tcBorders>
          </w:tcPr>
          <w:p>
            <w:pPr>
              <w:pStyle w:val="9"/>
              <w:widowControl/>
              <w:jc w:val="center"/>
              <w:rPr>
                <w:rFonts w:ascii="Times New Roman" w:hAnsi="Times New Roman" w:cs="Times New Roman"/>
                <w:b/>
                <w:sz w:val="24"/>
                <w:szCs w:val="24"/>
              </w:rPr>
            </w:pPr>
            <w:r>
              <w:rPr>
                <w:rFonts w:ascii="Times New Roman" w:hAnsi="Times New Roman" w:cs="Times New Roman"/>
                <w:b/>
                <w:sz w:val="24"/>
                <w:szCs w:val="24"/>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tblPrEx>
          <w:tblCellMar>
            <w:top w:w="0" w:type="dxa"/>
            <w:left w:w="70" w:type="dxa"/>
            <w:bottom w:w="0" w:type="dxa"/>
            <w:right w:w="70" w:type="dxa"/>
          </w:tblCellMar>
        </w:tblPrEx>
        <w:trPr>
          <w:cantSplit/>
          <w:trHeight w:val="360" w:hRule="atLeast"/>
        </w:trPr>
        <w:tc>
          <w:tcPr>
            <w:tcW w:w="540" w:type="dxa"/>
            <w:tcBorders>
              <w:top w:val="single" w:color="000000" w:sz="6" w:space="0"/>
              <w:left w:val="single" w:color="000000" w:sz="6" w:space="0"/>
              <w:bottom w:val="single" w:color="000000" w:sz="6" w:space="0"/>
              <w:right w:val="nil"/>
            </w:tcBorders>
          </w:tcPr>
          <w:p>
            <w:pPr>
              <w:pStyle w:val="9"/>
              <w:widowControl/>
              <w:rPr>
                <w:rFonts w:ascii="Times New Roman" w:hAnsi="Times New Roman" w:cs="Times New Roman"/>
                <w:b/>
                <w:sz w:val="24"/>
                <w:szCs w:val="24"/>
              </w:rPr>
            </w:pPr>
            <w:r>
              <w:rPr>
                <w:rFonts w:ascii="Times New Roman" w:hAnsi="Times New Roman" w:cs="Times New Roman"/>
                <w:b/>
                <w:sz w:val="24"/>
                <w:szCs w:val="24"/>
              </w:rPr>
              <w:t>4.</w:t>
            </w:r>
          </w:p>
        </w:tc>
        <w:tc>
          <w:tcPr>
            <w:tcW w:w="3240" w:type="dxa"/>
            <w:tcBorders>
              <w:top w:val="single" w:color="000000" w:sz="6" w:space="0"/>
              <w:left w:val="single" w:color="000000" w:sz="6" w:space="0"/>
              <w:bottom w:val="single" w:color="000000" w:sz="6" w:space="0"/>
              <w:right w:val="nil"/>
            </w:tcBorders>
          </w:tcPr>
          <w:p>
            <w:pPr>
              <w:pStyle w:val="9"/>
              <w:widowControl/>
              <w:jc w:val="center"/>
              <w:rPr>
                <w:rFonts w:ascii="Times New Roman" w:hAnsi="Times New Roman" w:cs="Times New Roman"/>
                <w:b/>
                <w:sz w:val="24"/>
                <w:szCs w:val="24"/>
              </w:rPr>
            </w:pPr>
            <w:r>
              <w:rPr>
                <w:rFonts w:ascii="Times New Roman" w:hAnsi="Times New Roman" w:cs="Times New Roman"/>
                <w:b/>
                <w:sz w:val="24"/>
                <w:szCs w:val="24"/>
              </w:rPr>
              <w:t>Погребение</w:t>
            </w:r>
          </w:p>
        </w:tc>
        <w:tc>
          <w:tcPr>
            <w:tcW w:w="6135" w:type="dxa"/>
            <w:tcBorders>
              <w:top w:val="single" w:color="000000" w:sz="6" w:space="0"/>
              <w:left w:val="single" w:color="000000" w:sz="6" w:space="0"/>
              <w:bottom w:val="single" w:color="000000" w:sz="6" w:space="0"/>
              <w:right w:val="single" w:color="000000" w:sz="6" w:space="0"/>
            </w:tcBorders>
          </w:tcPr>
          <w:p>
            <w:pPr>
              <w:pStyle w:val="9"/>
              <w:widowControl/>
              <w:jc w:val="center"/>
              <w:rPr>
                <w:rFonts w:ascii="Times New Roman" w:hAnsi="Times New Roman" w:cs="Times New Roman"/>
                <w:b/>
                <w:sz w:val="24"/>
                <w:szCs w:val="24"/>
              </w:rPr>
            </w:pPr>
            <w:r>
              <w:rPr>
                <w:rFonts w:ascii="Times New Roman" w:hAnsi="Times New Roman" w:cs="Times New Roman"/>
                <w:b/>
                <w:sz w:val="24"/>
                <w:szCs w:val="24"/>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pPr>
        <w:pStyle w:val="8"/>
        <w:widowControl/>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w:t>
      </w: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r>
        <w:rPr>
          <w:rFonts w:ascii="Times New Roman" w:hAnsi="Times New Roman" w:cs="Times New Roman"/>
          <w:b/>
          <w:sz w:val="24"/>
          <w:szCs w:val="24"/>
        </w:rPr>
        <w:t>ПРИЛОЖЕНИЕ № 3</w:t>
      </w:r>
    </w:p>
    <w:p>
      <w:pPr>
        <w:autoSpaceDE w:val="0"/>
        <w:jc w:val="right"/>
        <w:rPr>
          <w:rFonts w:ascii="Times New Roman" w:hAnsi="Times New Roman" w:cs="Times New Roman"/>
          <w:b/>
          <w:sz w:val="24"/>
          <w:szCs w:val="24"/>
        </w:rPr>
      </w:pPr>
      <w:r>
        <w:rPr>
          <w:rFonts w:ascii="Times New Roman" w:hAnsi="Times New Roman" w:cs="Times New Roman"/>
          <w:b/>
          <w:sz w:val="24"/>
          <w:szCs w:val="24"/>
        </w:rPr>
        <w:t>к решению Среднецарицынского сельского Совета</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УТВЕРЖДЕНО:</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решением   Среднецарицынского</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сельского Совета</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w:t>
      </w:r>
    </w:p>
    <w:p>
      <w:pPr>
        <w:pStyle w:val="8"/>
        <w:widowControl/>
        <w:jc w:val="center"/>
      </w:pPr>
    </w:p>
    <w:p>
      <w:pPr>
        <w:pStyle w:val="8"/>
        <w:widowControl/>
        <w:jc w:val="center"/>
      </w:pPr>
      <w:r>
        <w:t>СТОИМОСТЬ</w:t>
      </w:r>
    </w:p>
    <w:p>
      <w:pPr>
        <w:pStyle w:val="8"/>
        <w:widowControl/>
        <w:jc w:val="center"/>
      </w:pPr>
      <w:r>
        <w:t>УСЛУГ, ПРЕДОСТАВЛЯЕМЫХ НА ТЕРРИТОРИИ  СРЕДНЕЦАРИЦЫНСКОГО СЕЛЬСКОГО ПОСЕЛЕНИЯ, СОГЛАСНО ГАРАНТИРОВАННОМУ ПЕРЕЧНЮ</w:t>
      </w:r>
    </w:p>
    <w:p>
      <w:pPr>
        <w:pStyle w:val="8"/>
        <w:widowControl/>
        <w:jc w:val="center"/>
      </w:pPr>
      <w:r>
        <w:t>УСЛУГ ПО ПОГРЕБЕНИЮ ЗА СЧЕТ СРЕДСТВ БЮДЖЕТА</w:t>
      </w:r>
    </w:p>
    <w:p>
      <w:pPr>
        <w:pStyle w:val="8"/>
        <w:widowControl/>
        <w:jc w:val="center"/>
      </w:pPr>
      <w:r>
        <w:t>ВОЛГОГРАДСКОЙ ОБЛАСТИ, ФОНДА СОЦИАЛЬНОГО СТРАХОВАНИЯ ПРИ ОТСУТСТВИИ СУПРУГА, БЛИЗКИХ РОДСТВЕННИКОВ, ИНЫХ РОДСТВЕННИКОВ ЛИБО ЗАКОННОГО ПРЕДСТАВИТЕЛЯУМЕРШЕГО ИЛИ ПРИ НЕВОЗМОЖНОСТИ ОСУЩЕСТВИТЬ ИМИ ПОГРЕБЕНИЕ</w:t>
      </w:r>
    </w:p>
    <w:p>
      <w:pPr>
        <w:pStyle w:val="8"/>
        <w:widowControl/>
        <w:jc w:val="center"/>
      </w:pPr>
    </w:p>
    <w:tbl>
      <w:tblPr>
        <w:tblStyle w:val="5"/>
        <w:tblW w:w="0" w:type="auto"/>
        <w:tblInd w:w="5" w:type="dxa"/>
        <w:tblLayout w:type="fixed"/>
        <w:tblCellMar>
          <w:top w:w="75" w:type="dxa"/>
          <w:left w:w="0" w:type="dxa"/>
          <w:bottom w:w="75" w:type="dxa"/>
          <w:right w:w="0" w:type="dxa"/>
        </w:tblCellMar>
      </w:tblPr>
      <w:tblGrid>
        <w:gridCol w:w="552"/>
        <w:gridCol w:w="5357"/>
        <w:gridCol w:w="1928"/>
        <w:gridCol w:w="1604"/>
      </w:tblGrid>
      <w:tr>
        <w:tblPrEx>
          <w:tblCellMar>
            <w:top w:w="75" w:type="dxa"/>
            <w:left w:w="0" w:type="dxa"/>
            <w:bottom w:w="75" w:type="dxa"/>
            <w:right w:w="0" w:type="dxa"/>
          </w:tblCellMar>
        </w:tblPrEx>
        <w:tc>
          <w:tcPr>
            <w:tcW w:w="552"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N п/п</w:t>
            </w:r>
          </w:p>
        </w:tc>
        <w:tc>
          <w:tcPr>
            <w:tcW w:w="5357"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Перечень услуг по погребению</w:t>
            </w:r>
          </w:p>
        </w:tc>
        <w:tc>
          <w:tcPr>
            <w:tcW w:w="1928"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Единица измерения</w:t>
            </w:r>
          </w:p>
        </w:tc>
        <w:tc>
          <w:tcPr>
            <w:tcW w:w="1604"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Предельная стоимость (рублей)</w:t>
            </w:r>
          </w:p>
        </w:tc>
      </w:tr>
      <w:tr>
        <w:tblPrEx>
          <w:tblCellMar>
            <w:top w:w="75" w:type="dxa"/>
            <w:left w:w="0" w:type="dxa"/>
            <w:bottom w:w="75" w:type="dxa"/>
            <w:right w:w="0" w:type="dxa"/>
          </w:tblCellMar>
        </w:tblPrEx>
        <w:tc>
          <w:tcPr>
            <w:tcW w:w="552"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1.</w:t>
            </w:r>
          </w:p>
        </w:tc>
        <w:tc>
          <w:tcPr>
            <w:tcW w:w="5357" w:type="dxa"/>
            <w:tcBorders>
              <w:top w:val="single" w:color="000000" w:sz="4" w:space="0"/>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Оформление документов, необходимых для погребения</w:t>
            </w:r>
          </w:p>
        </w:tc>
        <w:tc>
          <w:tcPr>
            <w:tcW w:w="1928" w:type="dxa"/>
            <w:tcBorders>
              <w:top w:val="single" w:color="000000" w:sz="4" w:space="0"/>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одни похороны</w:t>
            </w:r>
          </w:p>
        </w:tc>
        <w:tc>
          <w:tcPr>
            <w:tcW w:w="1604"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бесплатно</w:t>
            </w:r>
          </w:p>
        </w:tc>
      </w:tr>
      <w:tr>
        <w:tblPrEx>
          <w:tblCellMar>
            <w:top w:w="75" w:type="dxa"/>
            <w:left w:w="0" w:type="dxa"/>
            <w:bottom w:w="75" w:type="dxa"/>
            <w:right w:w="0" w:type="dxa"/>
          </w:tblCellMar>
        </w:tblPrEx>
        <w:tc>
          <w:tcPr>
            <w:tcW w:w="552" w:type="dxa"/>
            <w:tcBorders>
              <w:top w:val="nil"/>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rPr>
              <w:t>2.</w:t>
            </w:r>
          </w:p>
        </w:tc>
        <w:tc>
          <w:tcPr>
            <w:tcW w:w="5357"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rPr>
              <w:t>Облачение тела</w:t>
            </w:r>
          </w:p>
        </w:tc>
        <w:tc>
          <w:tcPr>
            <w:tcW w:w="1928"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rPr>
              <w:t>одни похороны</w:t>
            </w:r>
          </w:p>
        </w:tc>
        <w:tc>
          <w:tcPr>
            <w:tcW w:w="1604" w:type="dxa"/>
            <w:tcBorders>
              <w:top w:val="nil"/>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shd w:val="clear" w:color="auto" w:fill="FFFFFF"/>
              </w:rPr>
              <w:t>225,60</w:t>
            </w:r>
          </w:p>
        </w:tc>
      </w:tr>
      <w:tr>
        <w:tblPrEx>
          <w:tblCellMar>
            <w:top w:w="75" w:type="dxa"/>
            <w:left w:w="0" w:type="dxa"/>
            <w:bottom w:w="75" w:type="dxa"/>
            <w:right w:w="0" w:type="dxa"/>
          </w:tblCellMar>
        </w:tblPrEx>
        <w:trPr>
          <w:cantSplit/>
        </w:trPr>
        <w:tc>
          <w:tcPr>
            <w:tcW w:w="552" w:type="dxa"/>
            <w:vMerge w:val="restart"/>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3.</w:t>
            </w:r>
          </w:p>
        </w:tc>
        <w:tc>
          <w:tcPr>
            <w:tcW w:w="5357" w:type="dxa"/>
            <w:tcBorders>
              <w:top w:val="single" w:color="000000" w:sz="4" w:space="0"/>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Предоставление и доставка гроба и других предметов:</w:t>
            </w:r>
          </w:p>
        </w:tc>
        <w:tc>
          <w:tcPr>
            <w:tcW w:w="1928" w:type="dxa"/>
            <w:tcBorders>
              <w:top w:val="single" w:color="000000" w:sz="4" w:space="0"/>
              <w:left w:val="single" w:color="000000" w:sz="4" w:space="0"/>
              <w:bottom w:val="nil"/>
              <w:right w:val="nil"/>
            </w:tcBorders>
          </w:tcPr>
          <w:p>
            <w:pPr>
              <w:widowControl w:val="0"/>
              <w:suppressAutoHyphens/>
              <w:autoSpaceDE w:val="0"/>
              <w:snapToGrid w:val="0"/>
              <w:rPr>
                <w:rFonts w:ascii="Times New Roman" w:hAnsi="Times New Roman" w:cs="Times New Roman"/>
                <w:b/>
                <w:sz w:val="24"/>
                <w:szCs w:val="24"/>
                <w:lang w:eastAsia="zh-CN"/>
              </w:rPr>
            </w:pPr>
          </w:p>
        </w:tc>
        <w:tc>
          <w:tcPr>
            <w:tcW w:w="1604" w:type="dxa"/>
            <w:tcBorders>
              <w:top w:val="single" w:color="000000" w:sz="4" w:space="0"/>
              <w:left w:val="single" w:color="000000" w:sz="4" w:space="0"/>
              <w:bottom w:val="nil"/>
              <w:right w:val="single" w:color="000000" w:sz="4" w:space="0"/>
            </w:tcBorders>
          </w:tcPr>
          <w:p>
            <w:pPr>
              <w:widowControl w:val="0"/>
              <w:suppressAutoHyphens/>
              <w:autoSpaceDE w:val="0"/>
              <w:snapToGrid w:val="0"/>
              <w:rPr>
                <w:rFonts w:ascii="Times New Roman" w:hAnsi="Times New Roman" w:cs="Times New Roman"/>
                <w:b/>
                <w:sz w:val="24"/>
                <w:szCs w:val="24"/>
                <w:lang w:eastAsia="zh-CN"/>
              </w:rPr>
            </w:pPr>
          </w:p>
        </w:tc>
      </w:tr>
      <w:tr>
        <w:tblPrEx>
          <w:tblCellMar>
            <w:top w:w="75" w:type="dxa"/>
            <w:left w:w="0" w:type="dxa"/>
            <w:bottom w:w="75" w:type="dxa"/>
            <w:right w:w="0" w:type="dxa"/>
          </w:tblCellMar>
        </w:tblPrEx>
        <w:trPr>
          <w:cantSplit/>
        </w:trPr>
        <w:tc>
          <w:tcPr>
            <w:tcW w:w="552"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357"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Гроб деревянный недрапированный взрослый</w:t>
            </w:r>
          </w:p>
        </w:tc>
        <w:tc>
          <w:tcPr>
            <w:tcW w:w="1928"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одна штука</w:t>
            </w:r>
          </w:p>
        </w:tc>
        <w:tc>
          <w:tcPr>
            <w:tcW w:w="1604" w:type="dxa"/>
            <w:tcBorders>
              <w:top w:val="nil"/>
              <w:left w:val="single" w:color="000000" w:sz="4" w:space="0"/>
              <w:bottom w:val="nil"/>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 xml:space="preserve">1942,30 </w:t>
            </w:r>
          </w:p>
        </w:tc>
      </w:tr>
      <w:tr>
        <w:tblPrEx>
          <w:tblCellMar>
            <w:top w:w="75" w:type="dxa"/>
            <w:left w:w="0" w:type="dxa"/>
            <w:bottom w:w="75" w:type="dxa"/>
            <w:right w:w="0" w:type="dxa"/>
          </w:tblCellMar>
        </w:tblPrEx>
        <w:trPr>
          <w:cantSplit/>
        </w:trPr>
        <w:tc>
          <w:tcPr>
            <w:tcW w:w="552"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357"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Погрузка и выгрузка гроба и других предметов в автокатафалк и доставка на дом или в морг</w:t>
            </w:r>
          </w:p>
        </w:tc>
        <w:tc>
          <w:tcPr>
            <w:tcW w:w="1928"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одни похороны</w:t>
            </w:r>
          </w:p>
        </w:tc>
        <w:tc>
          <w:tcPr>
            <w:tcW w:w="1604" w:type="dxa"/>
            <w:tcBorders>
              <w:top w:val="nil"/>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332,38</w:t>
            </w:r>
          </w:p>
        </w:tc>
      </w:tr>
      <w:tr>
        <w:tblPrEx>
          <w:tblCellMar>
            <w:top w:w="75" w:type="dxa"/>
            <w:left w:w="0" w:type="dxa"/>
            <w:bottom w:w="75" w:type="dxa"/>
            <w:right w:w="0" w:type="dxa"/>
          </w:tblCellMar>
        </w:tblPrEx>
        <w:trPr>
          <w:cantSplit/>
        </w:trPr>
        <w:tc>
          <w:tcPr>
            <w:tcW w:w="552" w:type="dxa"/>
            <w:vMerge w:val="restart"/>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4.</w:t>
            </w:r>
          </w:p>
        </w:tc>
        <w:tc>
          <w:tcPr>
            <w:tcW w:w="5357" w:type="dxa"/>
            <w:tcBorders>
              <w:top w:val="single" w:color="000000" w:sz="4" w:space="0"/>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Перевозка тела умершего на кладбище:</w:t>
            </w:r>
          </w:p>
        </w:tc>
        <w:tc>
          <w:tcPr>
            <w:tcW w:w="1928" w:type="dxa"/>
            <w:tcBorders>
              <w:top w:val="single" w:color="000000" w:sz="4" w:space="0"/>
              <w:left w:val="single" w:color="000000" w:sz="4" w:space="0"/>
              <w:bottom w:val="nil"/>
              <w:right w:val="nil"/>
            </w:tcBorders>
          </w:tcPr>
          <w:p>
            <w:pPr>
              <w:widowControl w:val="0"/>
              <w:suppressAutoHyphens/>
              <w:autoSpaceDE w:val="0"/>
              <w:snapToGrid w:val="0"/>
              <w:rPr>
                <w:rFonts w:ascii="Times New Roman" w:hAnsi="Times New Roman" w:cs="Times New Roman"/>
                <w:b/>
                <w:sz w:val="24"/>
                <w:szCs w:val="24"/>
                <w:lang w:eastAsia="zh-CN"/>
              </w:rPr>
            </w:pPr>
          </w:p>
        </w:tc>
        <w:tc>
          <w:tcPr>
            <w:tcW w:w="1604" w:type="dxa"/>
            <w:tcBorders>
              <w:top w:val="single" w:color="000000" w:sz="4" w:space="0"/>
              <w:left w:val="single" w:color="000000" w:sz="4" w:space="0"/>
              <w:bottom w:val="nil"/>
              <w:right w:val="single" w:color="000000" w:sz="4" w:space="0"/>
            </w:tcBorders>
          </w:tcPr>
          <w:p>
            <w:pPr>
              <w:widowControl w:val="0"/>
              <w:suppressAutoHyphens/>
              <w:autoSpaceDE w:val="0"/>
              <w:snapToGrid w:val="0"/>
              <w:rPr>
                <w:rFonts w:ascii="Times New Roman" w:hAnsi="Times New Roman" w:cs="Times New Roman"/>
                <w:b/>
                <w:sz w:val="24"/>
                <w:szCs w:val="24"/>
                <w:lang w:eastAsia="zh-CN"/>
              </w:rPr>
            </w:pPr>
          </w:p>
        </w:tc>
      </w:tr>
      <w:tr>
        <w:tblPrEx>
          <w:tblCellMar>
            <w:top w:w="75" w:type="dxa"/>
            <w:left w:w="0" w:type="dxa"/>
            <w:bottom w:w="75" w:type="dxa"/>
            <w:right w:w="0" w:type="dxa"/>
          </w:tblCellMar>
        </w:tblPrEx>
        <w:trPr>
          <w:cantSplit/>
        </w:trPr>
        <w:tc>
          <w:tcPr>
            <w:tcW w:w="552"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357"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rPr>
              <w:t xml:space="preserve"> Вынос гроба с телом из морга или дома</w:t>
            </w:r>
          </w:p>
        </w:tc>
        <w:tc>
          <w:tcPr>
            <w:tcW w:w="1928"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rPr>
              <w:t>одни похороны</w:t>
            </w:r>
          </w:p>
        </w:tc>
        <w:tc>
          <w:tcPr>
            <w:tcW w:w="1604" w:type="dxa"/>
            <w:tcBorders>
              <w:top w:val="nil"/>
              <w:left w:val="single" w:color="000000" w:sz="4" w:space="0"/>
              <w:bottom w:val="nil"/>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shd w:val="clear" w:color="auto" w:fill="FFFFFF"/>
              </w:rPr>
              <w:t>107,43</w:t>
            </w:r>
          </w:p>
        </w:tc>
      </w:tr>
      <w:tr>
        <w:tblPrEx>
          <w:tblCellMar>
            <w:top w:w="75" w:type="dxa"/>
            <w:left w:w="0" w:type="dxa"/>
            <w:bottom w:w="75" w:type="dxa"/>
            <w:right w:w="0" w:type="dxa"/>
          </w:tblCellMar>
        </w:tblPrEx>
        <w:trPr>
          <w:cantSplit/>
        </w:trPr>
        <w:tc>
          <w:tcPr>
            <w:tcW w:w="552"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357"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Услуги автокатафалка</w:t>
            </w:r>
          </w:p>
        </w:tc>
        <w:tc>
          <w:tcPr>
            <w:tcW w:w="1928"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одни похороны</w:t>
            </w:r>
          </w:p>
        </w:tc>
        <w:tc>
          <w:tcPr>
            <w:tcW w:w="1604" w:type="dxa"/>
            <w:tcBorders>
              <w:top w:val="nil"/>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1187,05</w:t>
            </w:r>
          </w:p>
        </w:tc>
      </w:tr>
      <w:tr>
        <w:tblPrEx>
          <w:tblCellMar>
            <w:top w:w="75" w:type="dxa"/>
            <w:left w:w="0" w:type="dxa"/>
            <w:bottom w:w="75" w:type="dxa"/>
            <w:right w:w="0" w:type="dxa"/>
          </w:tblCellMar>
        </w:tblPrEx>
        <w:trPr>
          <w:cantSplit/>
        </w:trPr>
        <w:tc>
          <w:tcPr>
            <w:tcW w:w="552" w:type="dxa"/>
            <w:vMerge w:val="restart"/>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5.</w:t>
            </w:r>
          </w:p>
        </w:tc>
        <w:tc>
          <w:tcPr>
            <w:tcW w:w="5357" w:type="dxa"/>
            <w:tcBorders>
              <w:top w:val="single" w:color="000000" w:sz="4" w:space="0"/>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Погребение:</w:t>
            </w:r>
          </w:p>
        </w:tc>
        <w:tc>
          <w:tcPr>
            <w:tcW w:w="1928" w:type="dxa"/>
            <w:tcBorders>
              <w:top w:val="single" w:color="000000" w:sz="4" w:space="0"/>
              <w:left w:val="single" w:color="000000" w:sz="4" w:space="0"/>
              <w:bottom w:val="nil"/>
              <w:right w:val="nil"/>
            </w:tcBorders>
          </w:tcPr>
          <w:p>
            <w:pPr>
              <w:widowControl w:val="0"/>
              <w:suppressAutoHyphens/>
              <w:autoSpaceDE w:val="0"/>
              <w:snapToGrid w:val="0"/>
              <w:rPr>
                <w:rFonts w:ascii="Times New Roman" w:hAnsi="Times New Roman" w:cs="Times New Roman"/>
                <w:b/>
                <w:sz w:val="24"/>
                <w:szCs w:val="24"/>
                <w:lang w:eastAsia="zh-CN"/>
              </w:rPr>
            </w:pPr>
          </w:p>
        </w:tc>
        <w:tc>
          <w:tcPr>
            <w:tcW w:w="1604" w:type="dxa"/>
            <w:tcBorders>
              <w:top w:val="single" w:color="000000" w:sz="4" w:space="0"/>
              <w:left w:val="single" w:color="000000" w:sz="4" w:space="0"/>
              <w:bottom w:val="nil"/>
              <w:right w:val="single" w:color="000000" w:sz="4" w:space="0"/>
            </w:tcBorders>
          </w:tcPr>
          <w:p>
            <w:pPr>
              <w:widowControl w:val="0"/>
              <w:suppressAutoHyphens/>
              <w:autoSpaceDE w:val="0"/>
              <w:snapToGrid w:val="0"/>
              <w:rPr>
                <w:rFonts w:ascii="Times New Roman" w:hAnsi="Times New Roman" w:cs="Times New Roman"/>
                <w:b/>
                <w:sz w:val="24"/>
                <w:szCs w:val="24"/>
                <w:lang w:eastAsia="zh-CN"/>
              </w:rPr>
            </w:pPr>
          </w:p>
        </w:tc>
      </w:tr>
      <w:tr>
        <w:tblPrEx>
          <w:tblCellMar>
            <w:top w:w="75" w:type="dxa"/>
            <w:left w:w="0" w:type="dxa"/>
            <w:bottom w:w="75" w:type="dxa"/>
            <w:right w:w="0" w:type="dxa"/>
          </w:tblCellMar>
        </w:tblPrEx>
        <w:trPr>
          <w:cantSplit/>
        </w:trPr>
        <w:tc>
          <w:tcPr>
            <w:tcW w:w="552"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357"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Разметка, расчистка места для могилы, рытье могилы механизированным способом (без надмогильных сооружений)</w:t>
            </w:r>
          </w:p>
        </w:tc>
        <w:tc>
          <w:tcPr>
            <w:tcW w:w="1928"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одна могила</w:t>
            </w:r>
          </w:p>
        </w:tc>
        <w:tc>
          <w:tcPr>
            <w:tcW w:w="1604" w:type="dxa"/>
            <w:tcBorders>
              <w:top w:val="nil"/>
              <w:left w:val="single" w:color="000000" w:sz="4" w:space="0"/>
              <w:bottom w:val="nil"/>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1120,08</w:t>
            </w:r>
          </w:p>
        </w:tc>
      </w:tr>
      <w:tr>
        <w:tblPrEx>
          <w:tblCellMar>
            <w:top w:w="75" w:type="dxa"/>
            <w:left w:w="0" w:type="dxa"/>
            <w:bottom w:w="75" w:type="dxa"/>
            <w:right w:w="0" w:type="dxa"/>
          </w:tblCellMar>
        </w:tblPrEx>
        <w:trPr>
          <w:cantSplit/>
        </w:trPr>
        <w:tc>
          <w:tcPr>
            <w:tcW w:w="552"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357"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Поднос гроба с телом умершего на кладбище</w:t>
            </w:r>
          </w:p>
        </w:tc>
        <w:tc>
          <w:tcPr>
            <w:tcW w:w="1928" w:type="dxa"/>
            <w:tcBorders>
              <w:top w:val="nil"/>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одни похороны</w:t>
            </w:r>
          </w:p>
        </w:tc>
        <w:tc>
          <w:tcPr>
            <w:tcW w:w="1604" w:type="dxa"/>
            <w:tcBorders>
              <w:top w:val="nil"/>
              <w:left w:val="single" w:color="000000" w:sz="4" w:space="0"/>
              <w:bottom w:val="nil"/>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333,03</w:t>
            </w:r>
          </w:p>
        </w:tc>
      </w:tr>
      <w:tr>
        <w:tblPrEx>
          <w:tblCellMar>
            <w:top w:w="75" w:type="dxa"/>
            <w:left w:w="0" w:type="dxa"/>
            <w:bottom w:w="75" w:type="dxa"/>
            <w:right w:w="0" w:type="dxa"/>
          </w:tblCellMar>
        </w:tblPrEx>
        <w:trPr>
          <w:cantSplit/>
        </w:trPr>
        <w:tc>
          <w:tcPr>
            <w:tcW w:w="552"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5357"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Погребение (опускание гроба в могилу, закапывание могилы, устройство надмогильного холма и установка регистрационной таблички)</w:t>
            </w:r>
          </w:p>
        </w:tc>
        <w:tc>
          <w:tcPr>
            <w:tcW w:w="1928"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одни похороны</w:t>
            </w:r>
          </w:p>
        </w:tc>
        <w:tc>
          <w:tcPr>
            <w:tcW w:w="1604" w:type="dxa"/>
            <w:tcBorders>
              <w:top w:val="nil"/>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768,13</w:t>
            </w:r>
          </w:p>
        </w:tc>
      </w:tr>
      <w:tr>
        <w:tblPrEx>
          <w:tblCellMar>
            <w:top w:w="75" w:type="dxa"/>
            <w:left w:w="0" w:type="dxa"/>
            <w:bottom w:w="75" w:type="dxa"/>
            <w:right w:w="0" w:type="dxa"/>
          </w:tblCellMar>
        </w:tblPrEx>
        <w:tc>
          <w:tcPr>
            <w:tcW w:w="552" w:type="dxa"/>
            <w:tcBorders>
              <w:top w:val="single" w:color="000000" w:sz="4" w:space="0"/>
              <w:left w:val="single" w:color="000000" w:sz="4" w:space="0"/>
              <w:bottom w:val="single" w:color="000000" w:sz="4" w:space="0"/>
              <w:right w:val="nil"/>
            </w:tcBorders>
          </w:tcPr>
          <w:p>
            <w:pPr>
              <w:widowControl w:val="0"/>
              <w:suppressAutoHyphens/>
              <w:autoSpaceDE w:val="0"/>
              <w:snapToGrid w:val="0"/>
              <w:rPr>
                <w:rFonts w:ascii="Times New Roman" w:hAnsi="Times New Roman" w:cs="Times New Roman"/>
                <w:b/>
                <w:sz w:val="24"/>
                <w:szCs w:val="24"/>
                <w:lang w:eastAsia="zh-CN"/>
              </w:rPr>
            </w:pPr>
            <w:r>
              <w:rPr>
                <w:rFonts w:ascii="Times New Roman" w:hAnsi="Times New Roman" w:cs="Times New Roman"/>
                <w:b/>
                <w:sz w:val="24"/>
                <w:szCs w:val="24"/>
              </w:rPr>
              <w:t>6.</w:t>
            </w:r>
          </w:p>
        </w:tc>
        <w:tc>
          <w:tcPr>
            <w:tcW w:w="5357" w:type="dxa"/>
            <w:tcBorders>
              <w:top w:val="single" w:color="000000" w:sz="4" w:space="0"/>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Всего</w:t>
            </w:r>
          </w:p>
        </w:tc>
        <w:tc>
          <w:tcPr>
            <w:tcW w:w="1928" w:type="dxa"/>
            <w:tcBorders>
              <w:top w:val="single" w:color="000000" w:sz="4" w:space="0"/>
              <w:left w:val="single" w:color="000000" w:sz="4" w:space="0"/>
              <w:bottom w:val="single" w:color="000000" w:sz="4" w:space="0"/>
              <w:right w:val="nil"/>
            </w:tcBorders>
          </w:tcPr>
          <w:p>
            <w:pPr>
              <w:widowControl w:val="0"/>
              <w:suppressAutoHyphens/>
              <w:autoSpaceDE w:val="0"/>
              <w:snapToGrid w:val="0"/>
              <w:rPr>
                <w:rFonts w:ascii="Times New Roman" w:hAnsi="Times New Roman" w:cs="Times New Roman"/>
                <w:b/>
                <w:sz w:val="24"/>
                <w:szCs w:val="24"/>
                <w:lang w:eastAsia="zh-CN"/>
              </w:rPr>
            </w:pPr>
          </w:p>
        </w:tc>
        <w:tc>
          <w:tcPr>
            <w:tcW w:w="1604"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 xml:space="preserve"> 6016,00</w:t>
            </w:r>
          </w:p>
        </w:tc>
      </w:tr>
    </w:tbl>
    <w:p>
      <w:pPr>
        <w:autoSpaceDE w:val="0"/>
        <w:ind w:firstLine="540"/>
        <w:jc w:val="both"/>
        <w:rPr>
          <w:rFonts w:ascii="Times New Roman" w:hAnsi="Times New Roman" w:cs="Times New Roman"/>
          <w:b/>
          <w:sz w:val="24"/>
          <w:szCs w:val="24"/>
          <w:lang w:eastAsia="zh-CN"/>
        </w:rPr>
      </w:pPr>
    </w:p>
    <w:p>
      <w:pPr>
        <w:autoSpaceDE w:val="0"/>
        <w:jc w:val="both"/>
        <w:rPr>
          <w:rFonts w:ascii="Times New Roman" w:hAnsi="Times New Roman" w:cs="Times New Roman"/>
          <w:b/>
          <w:sz w:val="24"/>
          <w:szCs w:val="24"/>
        </w:rPr>
      </w:pPr>
    </w:p>
    <w:p>
      <w:pPr>
        <w:autoSpaceDE w:val="0"/>
        <w:ind w:firstLine="540"/>
        <w:jc w:val="both"/>
        <w:rPr>
          <w:rFonts w:ascii="Times New Roman" w:hAnsi="Times New Roman" w:cs="Times New Roman"/>
          <w:b/>
          <w:sz w:val="24"/>
          <w:szCs w:val="24"/>
        </w:rPr>
      </w:pPr>
    </w:p>
    <w:p>
      <w:pPr>
        <w:autoSpaceDE w:val="0"/>
        <w:ind w:firstLine="540"/>
        <w:jc w:val="both"/>
        <w:rPr>
          <w:rFonts w:ascii="Times New Roman" w:hAnsi="Times New Roman" w:cs="Times New Roman"/>
          <w:b/>
          <w:sz w:val="24"/>
          <w:szCs w:val="24"/>
        </w:rPr>
      </w:pP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w:t>
      </w: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p>
    <w:p>
      <w:pPr>
        <w:autoSpaceDE w:val="0"/>
        <w:jc w:val="right"/>
        <w:rPr>
          <w:rFonts w:ascii="Times New Roman" w:hAnsi="Times New Roman" w:cs="Times New Roman"/>
          <w:b/>
          <w:sz w:val="24"/>
          <w:szCs w:val="24"/>
        </w:rPr>
      </w:pPr>
      <w:r>
        <w:rPr>
          <w:rFonts w:ascii="Times New Roman" w:hAnsi="Times New Roman" w:cs="Times New Roman"/>
          <w:b/>
          <w:sz w:val="24"/>
          <w:szCs w:val="24"/>
        </w:rPr>
        <w:t>ПРИЛОЖЕНИЕ№ 4</w:t>
      </w:r>
    </w:p>
    <w:p>
      <w:pPr>
        <w:autoSpaceDE w:val="0"/>
        <w:jc w:val="right"/>
        <w:rPr>
          <w:rFonts w:ascii="Times New Roman" w:hAnsi="Times New Roman" w:cs="Times New Roman"/>
          <w:b/>
          <w:sz w:val="24"/>
          <w:szCs w:val="24"/>
        </w:rPr>
      </w:pPr>
      <w:r>
        <w:rPr>
          <w:rFonts w:ascii="Times New Roman" w:hAnsi="Times New Roman" w:cs="Times New Roman"/>
          <w:b/>
          <w:sz w:val="24"/>
          <w:szCs w:val="24"/>
        </w:rPr>
        <w:t>к решению Среднецарицынского сельского Совета</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УТВЕРЖДЕНО:</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решением Среднецарицынского</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сельского Совета</w:t>
      </w:r>
    </w:p>
    <w:p>
      <w:pPr>
        <w:autoSpaceDE w:val="0"/>
        <w:jc w:val="right"/>
        <w:rPr>
          <w:rFonts w:ascii="Times New Roman" w:hAnsi="Times New Roman" w:cs="Times New Roman"/>
          <w:b/>
          <w:sz w:val="24"/>
          <w:szCs w:val="24"/>
        </w:rPr>
      </w:pPr>
      <w:r>
        <w:rPr>
          <w:rFonts w:ascii="Times New Roman" w:hAnsi="Times New Roman" w:cs="Times New Roman"/>
          <w:b/>
          <w:sz w:val="24"/>
          <w:szCs w:val="24"/>
        </w:rPr>
        <w:t xml:space="preserve">    </w:t>
      </w:r>
    </w:p>
    <w:p>
      <w:pPr>
        <w:pStyle w:val="8"/>
        <w:widowControl/>
        <w:jc w:val="center"/>
      </w:pPr>
    </w:p>
    <w:p>
      <w:pPr>
        <w:pStyle w:val="8"/>
        <w:widowControl/>
        <w:jc w:val="center"/>
      </w:pPr>
      <w:r>
        <w:t>ХАРАКТЕРИСТИКА</w:t>
      </w:r>
    </w:p>
    <w:p>
      <w:pPr>
        <w:pStyle w:val="8"/>
        <w:widowControl/>
        <w:jc w:val="center"/>
      </w:pPr>
      <w:r>
        <w:t>УСЛУГ, ПРЕДУСМОТРЕННЫХ ГАРАНТИРОВАННЫМ ПЕРЕЧНЕМ</w:t>
      </w:r>
    </w:p>
    <w:p>
      <w:pPr>
        <w:pStyle w:val="8"/>
        <w:widowControl/>
        <w:jc w:val="center"/>
      </w:pPr>
      <w:r>
        <w:t>УСЛУГ ПО ПОГРЕБЕНИЮ</w:t>
      </w:r>
    </w:p>
    <w:p>
      <w:pPr>
        <w:autoSpaceDE w:val="0"/>
        <w:ind w:firstLine="540"/>
        <w:jc w:val="both"/>
        <w:rPr>
          <w:rFonts w:ascii="Times New Roman" w:hAnsi="Times New Roman" w:cs="Times New Roman"/>
          <w:b/>
          <w:sz w:val="24"/>
          <w:szCs w:val="24"/>
        </w:rPr>
      </w:pPr>
    </w:p>
    <w:tbl>
      <w:tblPr>
        <w:tblStyle w:val="5"/>
        <w:tblW w:w="0" w:type="auto"/>
        <w:tblInd w:w="5" w:type="dxa"/>
        <w:tblLayout w:type="fixed"/>
        <w:tblCellMar>
          <w:top w:w="75" w:type="dxa"/>
          <w:left w:w="0" w:type="dxa"/>
          <w:bottom w:w="75" w:type="dxa"/>
          <w:right w:w="0" w:type="dxa"/>
        </w:tblCellMar>
      </w:tblPr>
      <w:tblGrid>
        <w:gridCol w:w="585"/>
        <w:gridCol w:w="2665"/>
        <w:gridCol w:w="6536"/>
      </w:tblGrid>
      <w:tr>
        <w:tblPrEx>
          <w:tblCellMar>
            <w:top w:w="75" w:type="dxa"/>
            <w:left w:w="0" w:type="dxa"/>
            <w:bottom w:w="75" w:type="dxa"/>
            <w:right w:w="0" w:type="dxa"/>
          </w:tblCellMar>
        </w:tblPrEx>
        <w:tc>
          <w:tcPr>
            <w:tcW w:w="585"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N п/п</w:t>
            </w:r>
          </w:p>
        </w:tc>
        <w:tc>
          <w:tcPr>
            <w:tcW w:w="2665"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Наименование услуг</w:t>
            </w:r>
          </w:p>
        </w:tc>
        <w:tc>
          <w:tcPr>
            <w:tcW w:w="653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Краткое описание работ по времени</w:t>
            </w:r>
          </w:p>
        </w:tc>
      </w:tr>
      <w:tr>
        <w:tblPrEx>
          <w:tblCellMar>
            <w:top w:w="75" w:type="dxa"/>
            <w:left w:w="0" w:type="dxa"/>
            <w:bottom w:w="75" w:type="dxa"/>
            <w:right w:w="0" w:type="dxa"/>
          </w:tblCellMar>
        </w:tblPrEx>
        <w:tc>
          <w:tcPr>
            <w:tcW w:w="585"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1.</w:t>
            </w:r>
          </w:p>
        </w:tc>
        <w:tc>
          <w:tcPr>
            <w:tcW w:w="2665" w:type="dxa"/>
            <w:tcBorders>
              <w:top w:val="single" w:color="000000" w:sz="4" w:space="0"/>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Оформление документов, необходимых для погребения</w:t>
            </w:r>
          </w:p>
        </w:tc>
        <w:tc>
          <w:tcPr>
            <w:tcW w:w="653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Получение документов, удостоверяющих личность умершего. Выяснение места нахождения покойного, выезд в поликлинику, больницу или морг для оформления документов. Выезд в орган ЗАГСа для получения свидетельства о смерти и справки для получения пособия на погребение. Доставка документов заказчику</w:t>
            </w:r>
          </w:p>
        </w:tc>
      </w:tr>
      <w:tr>
        <w:tblPrEx>
          <w:tblCellMar>
            <w:top w:w="75" w:type="dxa"/>
            <w:left w:w="0" w:type="dxa"/>
            <w:bottom w:w="75" w:type="dxa"/>
            <w:right w:w="0" w:type="dxa"/>
          </w:tblCellMar>
        </w:tblPrEx>
        <w:trPr>
          <w:cantSplit/>
        </w:trPr>
        <w:tc>
          <w:tcPr>
            <w:tcW w:w="585" w:type="dxa"/>
            <w:vMerge w:val="restart"/>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2.</w:t>
            </w:r>
          </w:p>
        </w:tc>
        <w:tc>
          <w:tcPr>
            <w:tcW w:w="2665" w:type="dxa"/>
            <w:tcBorders>
              <w:top w:val="single" w:color="000000" w:sz="4" w:space="0"/>
              <w:left w:val="single" w:color="000000" w:sz="4" w:space="0"/>
              <w:bottom w:val="nil"/>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Предоставление гроба</w:t>
            </w:r>
          </w:p>
        </w:tc>
        <w:tc>
          <w:tcPr>
            <w:tcW w:w="6536" w:type="dxa"/>
            <w:tcBorders>
              <w:top w:val="single" w:color="000000" w:sz="4" w:space="0"/>
              <w:left w:val="single" w:color="000000" w:sz="4" w:space="0"/>
              <w:bottom w:val="nil"/>
              <w:right w:val="single" w:color="000000" w:sz="4" w:space="0"/>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Гроб стандартный строганый из натуральных пиломатериалов толщиной 25 - 32 мм, обитый внутри пленкой, с ножками (размер 2,0 x 0,7 x 0,7 м)</w:t>
            </w:r>
          </w:p>
        </w:tc>
      </w:tr>
      <w:tr>
        <w:tblPrEx>
          <w:tblCellMar>
            <w:top w:w="75" w:type="dxa"/>
            <w:left w:w="0" w:type="dxa"/>
            <w:bottom w:w="75" w:type="dxa"/>
            <w:right w:w="0" w:type="dxa"/>
          </w:tblCellMar>
        </w:tblPrEx>
        <w:trPr>
          <w:cantSplit/>
        </w:trPr>
        <w:tc>
          <w:tcPr>
            <w:tcW w:w="585" w:type="dxa"/>
            <w:vMerge w:val="continue"/>
            <w:tcBorders>
              <w:top w:val="single" w:color="000000" w:sz="4" w:space="0"/>
              <w:left w:val="single" w:color="000000" w:sz="4" w:space="0"/>
              <w:bottom w:val="single" w:color="000000" w:sz="4" w:space="0"/>
              <w:right w:val="nil"/>
            </w:tcBorders>
            <w:vAlign w:val="center"/>
          </w:tcPr>
          <w:p>
            <w:pPr>
              <w:rPr>
                <w:rFonts w:ascii="Times New Roman" w:hAnsi="Times New Roman" w:cs="Times New Roman"/>
                <w:b/>
                <w:sz w:val="24"/>
                <w:szCs w:val="24"/>
                <w:lang w:eastAsia="zh-CN"/>
              </w:rPr>
            </w:pPr>
          </w:p>
        </w:tc>
        <w:tc>
          <w:tcPr>
            <w:tcW w:w="2665" w:type="dxa"/>
            <w:tcBorders>
              <w:top w:val="nil"/>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Доставка гроба и похоронных принадлежностей (венки, цветы и пр.) из магазина-салона на дом или в морг</w:t>
            </w:r>
          </w:p>
        </w:tc>
        <w:tc>
          <w:tcPr>
            <w:tcW w:w="6536" w:type="dxa"/>
            <w:tcBorders>
              <w:top w:val="nil"/>
              <w:left w:val="single" w:color="000000" w:sz="4" w:space="0"/>
              <w:bottom w:val="single" w:color="000000" w:sz="4" w:space="0"/>
              <w:right w:val="single" w:color="000000" w:sz="4" w:space="0"/>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в место нахождения тела (умершего) на расстояние до 10 км, включая обратный холостой пробег</w:t>
            </w:r>
          </w:p>
        </w:tc>
      </w:tr>
      <w:tr>
        <w:tblPrEx>
          <w:tblCellMar>
            <w:top w:w="75" w:type="dxa"/>
            <w:left w:w="0" w:type="dxa"/>
            <w:bottom w:w="75" w:type="dxa"/>
            <w:right w:w="0" w:type="dxa"/>
          </w:tblCellMar>
        </w:tblPrEx>
        <w:tc>
          <w:tcPr>
            <w:tcW w:w="585"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3.</w:t>
            </w:r>
          </w:p>
        </w:tc>
        <w:tc>
          <w:tcPr>
            <w:tcW w:w="2665" w:type="dxa"/>
            <w:tcBorders>
              <w:top w:val="single" w:color="000000" w:sz="4" w:space="0"/>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53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40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3 часов.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tblPrEx>
          <w:tblCellMar>
            <w:top w:w="75" w:type="dxa"/>
            <w:left w:w="0" w:type="dxa"/>
            <w:bottom w:w="75" w:type="dxa"/>
            <w:right w:w="0" w:type="dxa"/>
          </w:tblCellMar>
        </w:tblPrEx>
        <w:tc>
          <w:tcPr>
            <w:tcW w:w="585" w:type="dxa"/>
            <w:tcBorders>
              <w:top w:val="single" w:color="000000" w:sz="4" w:space="0"/>
              <w:left w:val="single" w:color="000000" w:sz="4" w:space="0"/>
              <w:bottom w:val="single" w:color="000000" w:sz="4" w:space="0"/>
              <w:right w:val="nil"/>
            </w:tcBorders>
          </w:tcPr>
          <w:p>
            <w:pPr>
              <w:widowControl w:val="0"/>
              <w:suppressAutoHyphens/>
              <w:autoSpaceDE w:val="0"/>
              <w:jc w:val="center"/>
              <w:rPr>
                <w:rFonts w:ascii="Times New Roman" w:hAnsi="Times New Roman" w:cs="Times New Roman"/>
                <w:b/>
                <w:sz w:val="24"/>
                <w:szCs w:val="24"/>
                <w:lang w:eastAsia="zh-CN"/>
              </w:rPr>
            </w:pPr>
            <w:r>
              <w:rPr>
                <w:rFonts w:ascii="Times New Roman" w:hAnsi="Times New Roman" w:cs="Times New Roman"/>
                <w:b/>
                <w:sz w:val="24"/>
                <w:szCs w:val="24"/>
              </w:rPr>
              <w:t>4.</w:t>
            </w:r>
          </w:p>
        </w:tc>
        <w:tc>
          <w:tcPr>
            <w:tcW w:w="2665" w:type="dxa"/>
            <w:tcBorders>
              <w:top w:val="single" w:color="000000" w:sz="4" w:space="0"/>
              <w:left w:val="single" w:color="000000" w:sz="4" w:space="0"/>
              <w:bottom w:val="single" w:color="000000" w:sz="4" w:space="0"/>
              <w:right w:val="nil"/>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Погребение</w:t>
            </w:r>
          </w:p>
        </w:tc>
        <w:tc>
          <w:tcPr>
            <w:tcW w:w="6536" w:type="dxa"/>
            <w:tcBorders>
              <w:top w:val="single" w:color="000000" w:sz="4" w:space="0"/>
              <w:left w:val="single" w:color="000000" w:sz="4" w:space="0"/>
              <w:bottom w:val="single" w:color="000000" w:sz="4" w:space="0"/>
              <w:right w:val="single" w:color="000000" w:sz="4" w:space="0"/>
            </w:tcBorders>
          </w:tcPr>
          <w:p>
            <w:pPr>
              <w:widowControl w:val="0"/>
              <w:suppressAutoHyphens/>
              <w:autoSpaceDE w:val="0"/>
              <w:rPr>
                <w:rFonts w:ascii="Times New Roman" w:hAnsi="Times New Roman" w:cs="Times New Roman"/>
                <w:b/>
                <w:sz w:val="24"/>
                <w:szCs w:val="24"/>
                <w:lang w:eastAsia="zh-CN"/>
              </w:rPr>
            </w:pPr>
            <w:r>
              <w:rPr>
                <w:rFonts w:ascii="Times New Roman" w:hAnsi="Times New Roman" w:cs="Times New Roman"/>
                <w:b/>
                <w:sz w:val="24"/>
                <w:szCs w:val="24"/>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pPr>
        <w:autoSpaceDE w:val="0"/>
        <w:ind w:firstLine="540"/>
        <w:jc w:val="both"/>
        <w:rPr>
          <w:rFonts w:ascii="Times New Roman" w:hAnsi="Times New Roman" w:cs="Times New Roman"/>
          <w:b/>
          <w:sz w:val="24"/>
          <w:szCs w:val="24"/>
          <w:lang w:eastAsia="zh-CN"/>
        </w:rPr>
      </w:pPr>
    </w:p>
    <w:p>
      <w:pPr>
        <w:rPr>
          <w:rFonts w:ascii="Times New Roman" w:hAnsi="Times New Roman" w:cs="Times New Roman"/>
          <w:sz w:val="24"/>
          <w:szCs w:val="24"/>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4C"/>
    <w:rsid w:val="00743C47"/>
    <w:rsid w:val="00A52089"/>
    <w:rsid w:val="00AD724C"/>
    <w:rsid w:val="00EC4A82"/>
    <w:rsid w:val="590712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2"/>
    <w:basedOn w:val="1"/>
    <w:next w:val="1"/>
    <w:link w:val="6"/>
    <w:semiHidden/>
    <w:unhideWhenUsed/>
    <w:qFormat/>
    <w:uiPriority w:val="9"/>
    <w:pPr>
      <w:keepNext/>
      <w:suppressAutoHyphens/>
      <w:spacing w:before="240" w:after="60" w:line="240" w:lineRule="auto"/>
      <w:outlineLvl w:val="1"/>
    </w:pPr>
    <w:rPr>
      <w:rFonts w:ascii="Cambria" w:hAnsi="Cambria" w:eastAsia="Times New Roman" w:cs="Times New Roman"/>
      <w:b/>
      <w:bCs/>
      <w:i/>
      <w:iCs/>
      <w:sz w:val="28"/>
      <w:szCs w:val="28"/>
      <w:lang w:eastAsia="zh-CN"/>
    </w:rPr>
  </w:style>
  <w:style w:type="character" w:default="1" w:styleId="3">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4">
    <w:name w:val="Hyperlink"/>
    <w:semiHidden/>
    <w:unhideWhenUsed/>
    <w:uiPriority w:val="0"/>
    <w:rPr>
      <w:color w:val="000080"/>
      <w:u w:val="single"/>
    </w:rPr>
  </w:style>
  <w:style w:type="character" w:customStyle="1" w:styleId="6">
    <w:name w:val="Заголовок 2 Знак"/>
    <w:basedOn w:val="3"/>
    <w:link w:val="2"/>
    <w:semiHidden/>
    <w:uiPriority w:val="9"/>
    <w:rPr>
      <w:rFonts w:ascii="Cambria" w:hAnsi="Cambria" w:eastAsia="Times New Roman" w:cs="Times New Roman"/>
      <w:b/>
      <w:bCs/>
      <w:i/>
      <w:iCs/>
      <w:sz w:val="28"/>
      <w:szCs w:val="28"/>
      <w:lang w:eastAsia="zh-CN"/>
    </w:rPr>
  </w:style>
  <w:style w:type="paragraph" w:styleId="7">
    <w:name w:val="No Spacing"/>
    <w:qFormat/>
    <w:uiPriority w:val="0"/>
    <w:pPr>
      <w:suppressAutoHyphens/>
      <w:spacing w:after="0" w:line="240" w:lineRule="auto"/>
    </w:pPr>
    <w:rPr>
      <w:rFonts w:ascii="Calibri" w:hAnsi="Calibri" w:eastAsia="SimSun" w:cs="Tahoma"/>
      <w:sz w:val="22"/>
      <w:szCs w:val="22"/>
      <w:lang w:val="ru-RU" w:eastAsia="ar-SA" w:bidi="ar-SA"/>
    </w:rPr>
  </w:style>
  <w:style w:type="paragraph" w:customStyle="1" w:styleId="8">
    <w:name w:val="ConsPlusTitle"/>
    <w:uiPriority w:val="0"/>
    <w:pPr>
      <w:widowControl w:val="0"/>
      <w:suppressAutoHyphens/>
      <w:autoSpaceDE w:val="0"/>
      <w:spacing w:after="0" w:line="240" w:lineRule="auto"/>
    </w:pPr>
    <w:rPr>
      <w:rFonts w:ascii="Times New Roman" w:hAnsi="Times New Roman" w:eastAsia="Times New Roman" w:cs="Times New Roman"/>
      <w:b/>
      <w:bCs/>
      <w:sz w:val="24"/>
      <w:szCs w:val="24"/>
      <w:lang w:val="ru-RU" w:eastAsia="zh-CN" w:bidi="ar-SA"/>
    </w:rPr>
  </w:style>
  <w:style w:type="paragraph" w:customStyle="1" w:styleId="9">
    <w:name w:val="ConsPlusCell"/>
    <w:uiPriority w:val="0"/>
    <w:pPr>
      <w:widowControl w:val="0"/>
      <w:suppressAutoHyphens/>
      <w:autoSpaceDE w:val="0"/>
      <w:spacing w:after="0" w:line="240" w:lineRule="auto"/>
    </w:pPr>
    <w:rPr>
      <w:rFonts w:ascii="Arial" w:hAnsi="Arial" w:eastAsia="Times New Roman" w:cs="Arial"/>
      <w:sz w:val="20"/>
      <w:szCs w:val="20"/>
      <w:lang w:val="ru-RU" w:eastAsia="zh-CN" w:bidi="ar-SA"/>
    </w:rPr>
  </w:style>
  <w:style w:type="paragraph" w:customStyle="1" w:styleId="10">
    <w:name w:val="Основной текст 21"/>
    <w:basedOn w:val="1"/>
    <w:uiPriority w:val="0"/>
    <w:pPr>
      <w:suppressAutoHyphens/>
      <w:spacing w:after="120" w:line="480" w:lineRule="auto"/>
    </w:pPr>
    <w:rPr>
      <w:rFonts w:ascii="Times New Roman" w:hAnsi="Times New Roman" w:eastAsia="Times New Roman" w:cs="Times New Roman"/>
      <w:sz w:val="24"/>
      <w:szCs w:val="24"/>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9</Pages>
  <Words>1606</Words>
  <Characters>9155</Characters>
  <Lines>76</Lines>
  <Paragraphs>21</Paragraphs>
  <TotalTime>7</TotalTime>
  <ScaleCrop>false</ScaleCrop>
  <LinksUpToDate>false</LinksUpToDate>
  <CharactersWithSpaces>10740</CharactersWithSpaces>
  <Application>WPS Office_11.2.0.9260_F1E327BC-269C-435d-A152-05C5408002CA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2020-02-20T08:13:00Z</dcterms:created>
  <dc:creator>3</dc:creator>
  <cp:lastModifiedBy>prokh</cp:lastModifiedBy>
  <dcterms:modified xsi:type="dcterms:W3CDTF">2020-06-30T14:45:17Z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